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D0D" w:rsidRDefault="00FB4D0D" w:rsidP="00E92BE1">
      <w:pPr>
        <w:suppressLineNumbers/>
        <w:rPr>
          <w:rFonts w:ascii="Times New Roman Bold" w:hAnsi="Times New Roman Bold"/>
          <w:b/>
          <w:sz w:val="24"/>
        </w:rPr>
      </w:pPr>
      <w:bookmarkStart w:id="0" w:name="_GoBack"/>
      <w:bookmarkEnd w:id="0"/>
    </w:p>
    <w:p w:rsidR="00864F76" w:rsidRDefault="00350319" w:rsidP="005C3A86">
      <w:pPr>
        <w:suppressLineNumbers/>
        <w:jc w:val="center"/>
        <w:rPr>
          <w:rFonts w:ascii="Times New Roman Bold" w:hAnsi="Times New Roman Bold"/>
          <w:b/>
          <w:sz w:val="24"/>
        </w:rPr>
      </w:pPr>
      <w:r w:rsidRPr="00004648">
        <w:rPr>
          <w:rFonts w:ascii="Times New Roman Bold" w:hAnsi="Times New Roman Bold"/>
          <w:b/>
          <w:sz w:val="24"/>
        </w:rPr>
        <w:t xml:space="preserve">PUC DOCKET NO. </w:t>
      </w:r>
      <w:r w:rsidR="002D01D3" w:rsidRPr="00004648">
        <w:rPr>
          <w:rFonts w:ascii="Times New Roman Bold" w:hAnsi="Times New Roman Bold"/>
          <w:b/>
          <w:sz w:val="24"/>
        </w:rPr>
        <w:t>4</w:t>
      </w:r>
      <w:r w:rsidR="00D50333">
        <w:rPr>
          <w:rFonts w:ascii="Times New Roman Bold" w:hAnsi="Times New Roman Bold"/>
          <w:b/>
          <w:sz w:val="24"/>
        </w:rPr>
        <w:t>9421</w:t>
      </w:r>
    </w:p>
    <w:p w:rsidR="00D50333" w:rsidRDefault="00D50333" w:rsidP="005C3A86">
      <w:pPr>
        <w:suppressLineNumbers/>
        <w:jc w:val="center"/>
        <w:rPr>
          <w:rFonts w:ascii="Times New Roman Bold" w:hAnsi="Times New Roman Bold"/>
          <w:b/>
          <w:sz w:val="24"/>
        </w:rPr>
      </w:pPr>
      <w:r>
        <w:rPr>
          <w:rFonts w:ascii="Times New Roman Bold" w:hAnsi="Times New Roman Bold"/>
          <w:b/>
          <w:sz w:val="24"/>
        </w:rPr>
        <w:t>SOAH DOCKET NO. 473-19-3864</w:t>
      </w:r>
    </w:p>
    <w:p w:rsidR="00FB4D0D" w:rsidRDefault="00FB4D0D" w:rsidP="005C3A86">
      <w:pPr>
        <w:suppressLineNumbers/>
        <w:jc w:val="center"/>
        <w:rPr>
          <w:rFonts w:ascii="Times New Roman Bold" w:hAnsi="Times New Roman Bold"/>
          <w:b/>
          <w:sz w:val="24"/>
        </w:rPr>
      </w:pPr>
    </w:p>
    <w:p w:rsidR="00C04218" w:rsidRPr="00004648" w:rsidRDefault="00C04218" w:rsidP="00067639">
      <w:pPr>
        <w:suppressLineNumbers/>
        <w:rPr>
          <w:rFonts w:ascii="Times New Roman Bold" w:hAnsi="Times New Roman Bold"/>
          <w:b/>
          <w:sz w:val="24"/>
        </w:rPr>
      </w:pPr>
    </w:p>
    <w:tbl>
      <w:tblPr>
        <w:tblW w:w="10009" w:type="dxa"/>
        <w:tblLayout w:type="fixed"/>
        <w:tblLook w:val="0000" w:firstRow="0" w:lastRow="0" w:firstColumn="0" w:lastColumn="0" w:noHBand="0" w:noVBand="0"/>
      </w:tblPr>
      <w:tblGrid>
        <w:gridCol w:w="4608"/>
        <w:gridCol w:w="288"/>
        <w:gridCol w:w="5113"/>
      </w:tblGrid>
      <w:tr w:rsidR="00C04218" w:rsidRPr="00004648" w:rsidTr="00800B77">
        <w:trPr>
          <w:trHeight w:val="2043"/>
        </w:trPr>
        <w:tc>
          <w:tcPr>
            <w:tcW w:w="4608" w:type="dxa"/>
          </w:tcPr>
          <w:p w:rsidR="003C13D5" w:rsidRDefault="003C13D5" w:rsidP="005906C2">
            <w:pPr>
              <w:ind w:right="-468"/>
              <w:rPr>
                <w:rFonts w:ascii="Times New Roman Bold" w:hAnsi="Times New Roman Bold"/>
                <w:b/>
                <w:sz w:val="24"/>
              </w:rPr>
            </w:pPr>
            <w:r>
              <w:rPr>
                <w:rFonts w:ascii="Times New Roman Bold" w:hAnsi="Times New Roman Bold"/>
                <w:b/>
                <w:sz w:val="24"/>
              </w:rPr>
              <w:t>APPLICATION</w:t>
            </w:r>
            <w:r w:rsidR="001D784E">
              <w:rPr>
                <w:rFonts w:ascii="Times New Roman Bold" w:hAnsi="Times New Roman Bold"/>
                <w:b/>
                <w:sz w:val="24"/>
              </w:rPr>
              <w:t xml:space="preserve"> OF </w:t>
            </w:r>
            <w:r w:rsidR="005906C2">
              <w:rPr>
                <w:rFonts w:ascii="Times New Roman Bold" w:hAnsi="Times New Roman Bold"/>
                <w:b/>
                <w:sz w:val="24"/>
              </w:rPr>
              <w:t>CENTERPOINT</w:t>
            </w:r>
          </w:p>
          <w:p w:rsidR="003C13D5" w:rsidRPr="00004648" w:rsidRDefault="005906C2" w:rsidP="00ED24BA">
            <w:pPr>
              <w:ind w:right="-468"/>
              <w:rPr>
                <w:rFonts w:ascii="Times New Roman Bold" w:hAnsi="Times New Roman Bold"/>
                <w:b/>
                <w:sz w:val="24"/>
              </w:rPr>
            </w:pPr>
            <w:r>
              <w:rPr>
                <w:rFonts w:ascii="Times New Roman Bold" w:hAnsi="Times New Roman Bold"/>
                <w:b/>
                <w:sz w:val="24"/>
              </w:rPr>
              <w:t>ENERGY HOUSTON ELECTRIC, LLC</w:t>
            </w:r>
          </w:p>
          <w:p w:rsidR="002D01D3" w:rsidRPr="00004648" w:rsidRDefault="005906C2" w:rsidP="002D01D3">
            <w:pPr>
              <w:ind w:right="-468"/>
              <w:rPr>
                <w:rFonts w:ascii="Times New Roman Bold" w:hAnsi="Times New Roman Bold"/>
                <w:b/>
                <w:sz w:val="24"/>
              </w:rPr>
            </w:pPr>
            <w:r>
              <w:rPr>
                <w:rFonts w:ascii="Times New Roman Bold" w:hAnsi="Times New Roman Bold"/>
                <w:b/>
                <w:sz w:val="24"/>
              </w:rPr>
              <w:t>FOR AUTHORITY TO CHANGE RATES</w:t>
            </w:r>
          </w:p>
        </w:tc>
        <w:tc>
          <w:tcPr>
            <w:tcW w:w="288" w:type="dxa"/>
          </w:tcPr>
          <w:p w:rsidR="00C04218" w:rsidRPr="00004648" w:rsidRDefault="00C04218" w:rsidP="005C3A86">
            <w:pPr>
              <w:tabs>
                <w:tab w:val="left" w:pos="612"/>
              </w:tabs>
              <w:jc w:val="center"/>
              <w:rPr>
                <w:rFonts w:ascii="Times New Roman Bold" w:hAnsi="Times New Roman Bold"/>
                <w:b/>
                <w:sz w:val="24"/>
              </w:rPr>
            </w:pPr>
            <w:r w:rsidRPr="00004648">
              <w:rPr>
                <w:rFonts w:ascii="Times New Roman Bold" w:hAnsi="Times New Roman Bold"/>
                <w:b/>
                <w:sz w:val="24"/>
              </w:rPr>
              <w:t>§</w:t>
            </w:r>
          </w:p>
          <w:p w:rsidR="00C04218" w:rsidRPr="00004648" w:rsidRDefault="00C04218" w:rsidP="005C3A86">
            <w:pPr>
              <w:tabs>
                <w:tab w:val="left" w:pos="612"/>
              </w:tabs>
              <w:jc w:val="center"/>
              <w:rPr>
                <w:rFonts w:ascii="Times New Roman Bold" w:hAnsi="Times New Roman Bold"/>
                <w:b/>
                <w:sz w:val="24"/>
              </w:rPr>
            </w:pPr>
            <w:r w:rsidRPr="00004648">
              <w:rPr>
                <w:rFonts w:ascii="Times New Roman Bold" w:hAnsi="Times New Roman Bold"/>
                <w:b/>
                <w:sz w:val="24"/>
              </w:rPr>
              <w:t>§</w:t>
            </w:r>
          </w:p>
          <w:p w:rsidR="002D01D3" w:rsidRPr="00004648" w:rsidRDefault="002D01D3" w:rsidP="002D01D3">
            <w:pPr>
              <w:tabs>
                <w:tab w:val="left" w:pos="612"/>
              </w:tabs>
              <w:jc w:val="center"/>
              <w:rPr>
                <w:rFonts w:ascii="Times New Roman Bold" w:hAnsi="Times New Roman Bold"/>
                <w:b/>
                <w:sz w:val="24"/>
              </w:rPr>
            </w:pPr>
            <w:r w:rsidRPr="00004648">
              <w:rPr>
                <w:rFonts w:ascii="Times New Roman Bold" w:hAnsi="Times New Roman Bold"/>
                <w:b/>
                <w:sz w:val="24"/>
              </w:rPr>
              <w:t>§</w:t>
            </w:r>
          </w:p>
          <w:p w:rsidR="00E36681" w:rsidRDefault="00E36681" w:rsidP="00C95A76">
            <w:pPr>
              <w:jc w:val="center"/>
              <w:rPr>
                <w:rFonts w:ascii="Times New Roman Bold" w:hAnsi="Times New Roman Bold"/>
                <w:b/>
                <w:sz w:val="24"/>
              </w:rPr>
            </w:pPr>
          </w:p>
          <w:p w:rsidR="00FB4D0D" w:rsidRDefault="00FB4D0D" w:rsidP="00C95A76">
            <w:pPr>
              <w:jc w:val="center"/>
              <w:rPr>
                <w:rFonts w:ascii="Times New Roman Bold" w:hAnsi="Times New Roman Bold"/>
                <w:b/>
                <w:sz w:val="24"/>
              </w:rPr>
            </w:pPr>
          </w:p>
          <w:p w:rsidR="00FB4D0D" w:rsidRDefault="00FB4D0D" w:rsidP="00C95A76">
            <w:pPr>
              <w:jc w:val="center"/>
              <w:rPr>
                <w:rFonts w:ascii="Times New Roman Bold" w:hAnsi="Times New Roman Bold"/>
                <w:b/>
                <w:sz w:val="24"/>
              </w:rPr>
            </w:pPr>
          </w:p>
          <w:p w:rsidR="00FB4D0D" w:rsidRDefault="00FB4D0D" w:rsidP="00C95A76">
            <w:pPr>
              <w:jc w:val="center"/>
              <w:rPr>
                <w:rFonts w:ascii="Times New Roman Bold" w:hAnsi="Times New Roman Bold"/>
                <w:b/>
                <w:sz w:val="24"/>
              </w:rPr>
            </w:pPr>
          </w:p>
          <w:p w:rsidR="00E36681" w:rsidRPr="00004648" w:rsidRDefault="00E36681" w:rsidP="00C95A76">
            <w:pPr>
              <w:jc w:val="center"/>
              <w:rPr>
                <w:rFonts w:ascii="Times New Roman Bold" w:hAnsi="Times New Roman Bold"/>
                <w:b/>
                <w:sz w:val="24"/>
              </w:rPr>
            </w:pPr>
          </w:p>
        </w:tc>
        <w:tc>
          <w:tcPr>
            <w:tcW w:w="5113" w:type="dxa"/>
          </w:tcPr>
          <w:p w:rsidR="001D784E" w:rsidRDefault="00B20E29" w:rsidP="00400E05">
            <w:pPr>
              <w:jc w:val="center"/>
              <w:rPr>
                <w:b/>
                <w:sz w:val="24"/>
                <w:szCs w:val="24"/>
              </w:rPr>
            </w:pPr>
            <w:r>
              <w:rPr>
                <w:b/>
                <w:sz w:val="24"/>
                <w:szCs w:val="24"/>
              </w:rPr>
              <w:t>BEFORE THE STATE OFFICE</w:t>
            </w:r>
          </w:p>
          <w:p w:rsidR="00B20E29" w:rsidRDefault="00B20E29" w:rsidP="00400E05">
            <w:pPr>
              <w:jc w:val="center"/>
              <w:rPr>
                <w:b/>
                <w:sz w:val="24"/>
                <w:szCs w:val="24"/>
              </w:rPr>
            </w:pPr>
            <w:r>
              <w:rPr>
                <w:b/>
                <w:sz w:val="24"/>
                <w:szCs w:val="24"/>
              </w:rPr>
              <w:t xml:space="preserve">OF </w:t>
            </w:r>
          </w:p>
          <w:p w:rsidR="00B20E29" w:rsidRPr="00004648" w:rsidRDefault="00B20E29" w:rsidP="00400E05">
            <w:pPr>
              <w:jc w:val="center"/>
              <w:rPr>
                <w:b/>
                <w:sz w:val="24"/>
                <w:szCs w:val="24"/>
              </w:rPr>
            </w:pPr>
            <w:r>
              <w:rPr>
                <w:b/>
                <w:sz w:val="24"/>
                <w:szCs w:val="24"/>
              </w:rPr>
              <w:t>ADMINISTRATIVE HEARINGS</w:t>
            </w:r>
          </w:p>
        </w:tc>
      </w:tr>
    </w:tbl>
    <w:p w:rsidR="00C04218" w:rsidRPr="0092752C" w:rsidRDefault="007C7E81" w:rsidP="008E0450">
      <w:pPr>
        <w:suppressLineNumbers/>
        <w:jc w:val="center"/>
        <w:rPr>
          <w:rFonts w:ascii="Arial" w:hAnsi="Arial"/>
          <w:b/>
        </w:rPr>
      </w:pPr>
      <w:r w:rsidRPr="0092752C">
        <w:object w:dxaOrig="6263" w:dyaOrig="5784" w14:anchorId="27B75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4in" o:ole="" fillcolor="window">
            <v:imagedata r:id="rId8" o:title=""/>
          </v:shape>
          <o:OLEObject Type="Embed" ProgID="CorelPhotoPaint.Image.8" ShapeID="_x0000_i1025" DrawAspect="Content" ObjectID="_1621780568" r:id="rId9"/>
        </w:object>
      </w:r>
    </w:p>
    <w:p w:rsidR="00ED24BA" w:rsidRDefault="00ED24BA" w:rsidP="005C3A86">
      <w:pPr>
        <w:suppressLineNumbers/>
        <w:spacing w:line="480" w:lineRule="auto"/>
        <w:jc w:val="center"/>
        <w:rPr>
          <w:b/>
          <w:sz w:val="24"/>
          <w:szCs w:val="24"/>
        </w:rPr>
      </w:pPr>
    </w:p>
    <w:p w:rsidR="00FB4D0D" w:rsidRDefault="00FB4D0D" w:rsidP="005C3A86">
      <w:pPr>
        <w:suppressLineNumbers/>
        <w:spacing w:line="480" w:lineRule="auto"/>
        <w:jc w:val="center"/>
        <w:rPr>
          <w:b/>
          <w:sz w:val="24"/>
          <w:szCs w:val="24"/>
        </w:rPr>
      </w:pPr>
    </w:p>
    <w:p w:rsidR="00C577CA" w:rsidRDefault="00D50DF8" w:rsidP="00C577CA">
      <w:pPr>
        <w:suppressLineNumbers/>
        <w:jc w:val="center"/>
        <w:rPr>
          <w:b/>
          <w:sz w:val="24"/>
          <w:szCs w:val="24"/>
        </w:rPr>
      </w:pPr>
      <w:r>
        <w:rPr>
          <w:b/>
          <w:sz w:val="24"/>
          <w:szCs w:val="24"/>
        </w:rPr>
        <w:t xml:space="preserve">REDACTED </w:t>
      </w:r>
      <w:r w:rsidR="005906C2">
        <w:rPr>
          <w:b/>
          <w:sz w:val="24"/>
          <w:szCs w:val="24"/>
        </w:rPr>
        <w:t xml:space="preserve">DIRECT </w:t>
      </w:r>
      <w:r w:rsidR="00E36681">
        <w:rPr>
          <w:b/>
          <w:sz w:val="24"/>
          <w:szCs w:val="24"/>
        </w:rPr>
        <w:t xml:space="preserve">TESTIMONY </w:t>
      </w:r>
    </w:p>
    <w:p w:rsidR="00C04218" w:rsidRPr="00CC3CAD" w:rsidRDefault="004464FD" w:rsidP="00C577CA">
      <w:pPr>
        <w:suppressLineNumbers/>
        <w:jc w:val="center"/>
        <w:rPr>
          <w:b/>
          <w:sz w:val="24"/>
          <w:szCs w:val="24"/>
        </w:rPr>
      </w:pPr>
      <w:r>
        <w:rPr>
          <w:b/>
          <w:sz w:val="24"/>
          <w:szCs w:val="24"/>
        </w:rPr>
        <w:t xml:space="preserve">AND WORKPAPERS </w:t>
      </w:r>
      <w:r w:rsidR="005906C2">
        <w:rPr>
          <w:b/>
          <w:sz w:val="24"/>
          <w:szCs w:val="24"/>
        </w:rPr>
        <w:t>OF</w:t>
      </w:r>
    </w:p>
    <w:p w:rsidR="00C577CA" w:rsidRDefault="00C577CA" w:rsidP="005C3A86">
      <w:pPr>
        <w:suppressLineNumbers/>
        <w:spacing w:line="480" w:lineRule="auto"/>
        <w:jc w:val="center"/>
        <w:rPr>
          <w:b/>
          <w:sz w:val="24"/>
          <w:szCs w:val="24"/>
        </w:rPr>
      </w:pPr>
    </w:p>
    <w:p w:rsidR="00067639" w:rsidRDefault="00004648" w:rsidP="005C3A86">
      <w:pPr>
        <w:suppressLineNumbers/>
        <w:spacing w:line="480" w:lineRule="auto"/>
        <w:jc w:val="center"/>
        <w:rPr>
          <w:b/>
          <w:sz w:val="24"/>
          <w:szCs w:val="24"/>
        </w:rPr>
      </w:pPr>
      <w:r>
        <w:rPr>
          <w:b/>
          <w:sz w:val="24"/>
          <w:szCs w:val="24"/>
        </w:rPr>
        <w:t>DARRYL TIETJEN</w:t>
      </w:r>
    </w:p>
    <w:p w:rsidR="00004648" w:rsidRDefault="00CB58A1" w:rsidP="00004648">
      <w:pPr>
        <w:suppressLineNumbers/>
        <w:jc w:val="center"/>
        <w:rPr>
          <w:rFonts w:ascii="Times New Roman Bold" w:hAnsi="Times New Roman Bold"/>
          <w:b/>
          <w:sz w:val="24"/>
        </w:rPr>
      </w:pPr>
      <w:r w:rsidRPr="00CC3CAD">
        <w:rPr>
          <w:rFonts w:ascii="Times New Roman Bold" w:hAnsi="Times New Roman Bold"/>
          <w:b/>
          <w:sz w:val="24"/>
        </w:rPr>
        <w:t>RATE REGULATION DIVISION</w:t>
      </w:r>
    </w:p>
    <w:p w:rsidR="00004648" w:rsidRDefault="00C04218" w:rsidP="00004648">
      <w:pPr>
        <w:suppressLineNumbers/>
        <w:jc w:val="center"/>
        <w:rPr>
          <w:rFonts w:ascii="Times New Roman Bold" w:hAnsi="Times New Roman Bold"/>
          <w:b/>
          <w:sz w:val="24"/>
        </w:rPr>
      </w:pPr>
      <w:r w:rsidRPr="00CC3CAD">
        <w:rPr>
          <w:rFonts w:ascii="Times New Roman Bold" w:hAnsi="Times New Roman Bold"/>
          <w:b/>
          <w:sz w:val="24"/>
        </w:rPr>
        <w:t>PUBLIC UTILITY COMMISSION OF TEXAS</w:t>
      </w:r>
    </w:p>
    <w:p w:rsidR="00004648" w:rsidRPr="00CC3CAD" w:rsidRDefault="00004648" w:rsidP="00004648">
      <w:pPr>
        <w:suppressLineNumbers/>
        <w:jc w:val="center"/>
        <w:rPr>
          <w:rFonts w:ascii="Times New Roman Bold" w:hAnsi="Times New Roman Bold"/>
          <w:b/>
          <w:sz w:val="24"/>
        </w:rPr>
      </w:pPr>
    </w:p>
    <w:p w:rsidR="00952B96" w:rsidRPr="00CC3CAD" w:rsidRDefault="005906C2" w:rsidP="005C3A86">
      <w:pPr>
        <w:suppressLineNumbers/>
        <w:spacing w:line="480" w:lineRule="auto"/>
        <w:jc w:val="center"/>
        <w:rPr>
          <w:rFonts w:ascii="Times New Roman Bold" w:hAnsi="Times New Roman Bold"/>
          <w:b/>
          <w:sz w:val="24"/>
        </w:rPr>
      </w:pPr>
      <w:r>
        <w:rPr>
          <w:rFonts w:ascii="Times New Roman Bold" w:hAnsi="Times New Roman Bold"/>
          <w:b/>
          <w:sz w:val="24"/>
        </w:rPr>
        <w:t>JUNE</w:t>
      </w:r>
      <w:r w:rsidR="00A51A40">
        <w:rPr>
          <w:rFonts w:ascii="Times New Roman Bold" w:hAnsi="Times New Roman Bold"/>
          <w:b/>
          <w:sz w:val="24"/>
        </w:rPr>
        <w:t xml:space="preserve"> </w:t>
      </w:r>
      <w:r w:rsidR="002D14D0">
        <w:rPr>
          <w:rFonts w:ascii="Times New Roman Bold" w:hAnsi="Times New Roman Bold"/>
          <w:b/>
          <w:sz w:val="24"/>
        </w:rPr>
        <w:t>1</w:t>
      </w:r>
      <w:r w:rsidR="005D19C6">
        <w:rPr>
          <w:rFonts w:ascii="Times New Roman Bold" w:hAnsi="Times New Roman Bold"/>
          <w:b/>
          <w:sz w:val="24"/>
        </w:rPr>
        <w:t>2</w:t>
      </w:r>
      <w:r w:rsidR="00422BDE" w:rsidRPr="00CC3CAD">
        <w:rPr>
          <w:rFonts w:ascii="Times New Roman Bold" w:hAnsi="Times New Roman Bold"/>
          <w:b/>
          <w:sz w:val="24"/>
        </w:rPr>
        <w:t>,</w:t>
      </w:r>
      <w:r w:rsidR="004440CC" w:rsidRPr="00CC3CAD">
        <w:rPr>
          <w:rFonts w:ascii="Times New Roman Bold" w:hAnsi="Times New Roman Bold"/>
          <w:b/>
          <w:sz w:val="24"/>
        </w:rPr>
        <w:t xml:space="preserve"> 201</w:t>
      </w:r>
      <w:r w:rsidR="00E36681">
        <w:rPr>
          <w:rFonts w:ascii="Times New Roman Bold" w:hAnsi="Times New Roman Bold"/>
          <w:b/>
          <w:sz w:val="24"/>
        </w:rPr>
        <w:t>9</w:t>
      </w:r>
    </w:p>
    <w:p w:rsidR="00EB7D33" w:rsidRPr="00155E6A" w:rsidRDefault="005906C2" w:rsidP="00EB7D33">
      <w:pPr>
        <w:suppressLineNumbers/>
        <w:ind w:left="648"/>
        <w:jc w:val="center"/>
        <w:rPr>
          <w:bCs/>
          <w:sz w:val="24"/>
          <w:szCs w:val="24"/>
        </w:rPr>
      </w:pPr>
      <w:r>
        <w:rPr>
          <w:bCs/>
          <w:sz w:val="24"/>
          <w:szCs w:val="24"/>
        </w:rPr>
        <w:lastRenderedPageBreak/>
        <w:t xml:space="preserve">DIRECT </w:t>
      </w:r>
      <w:r w:rsidR="00EB7D33" w:rsidRPr="00155E6A">
        <w:rPr>
          <w:bCs/>
          <w:sz w:val="24"/>
          <w:szCs w:val="24"/>
        </w:rPr>
        <w:t xml:space="preserve">TESTIMONY OF </w:t>
      </w:r>
    </w:p>
    <w:p w:rsidR="00EB7D33" w:rsidRDefault="005906C2" w:rsidP="00EB7D33">
      <w:pPr>
        <w:suppressLineNumbers/>
        <w:ind w:left="648"/>
        <w:jc w:val="center"/>
        <w:rPr>
          <w:bCs/>
          <w:sz w:val="24"/>
          <w:szCs w:val="24"/>
        </w:rPr>
      </w:pPr>
      <w:r>
        <w:rPr>
          <w:bCs/>
          <w:sz w:val="24"/>
          <w:szCs w:val="24"/>
        </w:rPr>
        <w:t>DARRYL TIETJEN</w:t>
      </w:r>
    </w:p>
    <w:p w:rsidR="00155E6A" w:rsidRPr="00155E6A" w:rsidRDefault="00155E6A" w:rsidP="00155E6A">
      <w:pPr>
        <w:suppressLineNumbers/>
        <w:ind w:left="648"/>
        <w:jc w:val="center"/>
        <w:rPr>
          <w:bCs/>
          <w:sz w:val="24"/>
          <w:szCs w:val="24"/>
        </w:rPr>
      </w:pPr>
    </w:p>
    <w:p w:rsidR="00155E6A" w:rsidRDefault="00155E6A" w:rsidP="00155E6A">
      <w:pPr>
        <w:suppressLineNumbers/>
        <w:spacing w:line="480" w:lineRule="auto"/>
        <w:ind w:left="648"/>
        <w:jc w:val="center"/>
        <w:rPr>
          <w:bCs/>
          <w:sz w:val="24"/>
          <w:szCs w:val="24"/>
        </w:rPr>
      </w:pPr>
      <w:r w:rsidRPr="00155E6A">
        <w:rPr>
          <w:bCs/>
          <w:sz w:val="24"/>
          <w:szCs w:val="24"/>
        </w:rPr>
        <w:t>TABLE OF CONTENTS</w:t>
      </w:r>
    </w:p>
    <w:p w:rsidR="00155E6A" w:rsidRPr="00155E6A" w:rsidRDefault="00155E6A" w:rsidP="00900936">
      <w:pPr>
        <w:pStyle w:val="ListParagraph"/>
        <w:numPr>
          <w:ilvl w:val="0"/>
          <w:numId w:val="12"/>
        </w:numPr>
        <w:suppressLineNumbers/>
        <w:spacing w:line="480" w:lineRule="auto"/>
        <w:ind w:hanging="918"/>
        <w:jc w:val="center"/>
      </w:pPr>
      <w:r w:rsidRPr="00155E6A">
        <w:t>Introduction….……………………………………………………………</w:t>
      </w:r>
      <w:r w:rsidR="00966B1B">
        <w:t>..</w:t>
      </w:r>
      <w:r w:rsidRPr="00155E6A">
        <w:tab/>
        <w:t>2</w:t>
      </w:r>
    </w:p>
    <w:p w:rsidR="00155E6A" w:rsidRPr="00155E6A" w:rsidRDefault="00216672" w:rsidP="00216672">
      <w:pPr>
        <w:pStyle w:val="ListParagraph"/>
        <w:numPr>
          <w:ilvl w:val="0"/>
          <w:numId w:val="12"/>
        </w:numPr>
        <w:suppressLineNumbers/>
        <w:spacing w:line="480" w:lineRule="auto"/>
        <w:ind w:left="1350" w:hanging="630"/>
      </w:pPr>
      <w:r>
        <w:t xml:space="preserve">     Recommendations</w:t>
      </w:r>
      <w:r w:rsidRPr="00155E6A">
        <w:t xml:space="preserve"> </w:t>
      </w:r>
      <w:r>
        <w:t>………..</w:t>
      </w:r>
      <w:r w:rsidR="00155E6A" w:rsidRPr="00155E6A">
        <w:t>……………</w:t>
      </w:r>
      <w:r w:rsidR="00D216F2">
        <w:t>…………</w:t>
      </w:r>
      <w:r>
        <w:t>…………….…………..</w:t>
      </w:r>
      <w:r w:rsidR="00D216F2">
        <w:t>..</w:t>
      </w:r>
      <w:r>
        <w:t>4</w:t>
      </w:r>
    </w:p>
    <w:p w:rsidR="00155E6A" w:rsidRDefault="00216672" w:rsidP="00056450">
      <w:pPr>
        <w:pStyle w:val="ListParagraph"/>
        <w:numPr>
          <w:ilvl w:val="0"/>
          <w:numId w:val="12"/>
        </w:numPr>
        <w:suppressLineNumbers/>
        <w:spacing w:line="480" w:lineRule="auto"/>
        <w:ind w:hanging="1008"/>
        <w:jc w:val="center"/>
      </w:pPr>
      <w:r>
        <w:t>Protective Measure</w:t>
      </w:r>
      <w:r w:rsidR="0090761E">
        <w:t>s</w:t>
      </w:r>
      <w:r>
        <w:t>—General Discussion</w:t>
      </w:r>
      <w:r w:rsidR="00D216F2">
        <w:t>……………</w:t>
      </w:r>
      <w:r w:rsidR="00155E6A" w:rsidRPr="00155E6A">
        <w:t>……………</w:t>
      </w:r>
      <w:r>
        <w:t>.</w:t>
      </w:r>
      <w:r w:rsidR="00155E6A" w:rsidRPr="00155E6A">
        <w:t>……</w:t>
      </w:r>
      <w:r w:rsidR="0090761E">
        <w:t>..</w:t>
      </w:r>
      <w:r w:rsidR="00E6664B">
        <w:t>.</w:t>
      </w:r>
      <w:r w:rsidR="002B5E0B">
        <w:t>.</w:t>
      </w:r>
      <w:r w:rsidR="00E6664B">
        <w:t>.</w:t>
      </w:r>
      <w:r w:rsidR="002B5E0B">
        <w:t>5</w:t>
      </w:r>
    </w:p>
    <w:p w:rsidR="002B5E0B" w:rsidRDefault="002B5E0B" w:rsidP="002B5E0B">
      <w:pPr>
        <w:pStyle w:val="ListParagraph"/>
        <w:numPr>
          <w:ilvl w:val="0"/>
          <w:numId w:val="12"/>
        </w:numPr>
        <w:suppressLineNumbers/>
      </w:pPr>
      <w:r>
        <w:t xml:space="preserve">    Rating Agency Assessments of CenterPoint and the </w:t>
      </w:r>
    </w:p>
    <w:p w:rsidR="002B5E0B" w:rsidRDefault="002B5E0B" w:rsidP="002B5E0B">
      <w:pPr>
        <w:pStyle w:val="ListParagraph"/>
        <w:suppressLineNumbers/>
        <w:spacing w:line="480" w:lineRule="auto"/>
        <w:ind w:left="3690" w:hanging="90"/>
      </w:pPr>
      <w:r>
        <w:t xml:space="preserve">  Impact of Recent Acquisitions</w:t>
      </w:r>
      <w:r w:rsidRPr="00155E6A">
        <w:t>……………</w:t>
      </w:r>
      <w:r>
        <w:t>………….10</w:t>
      </w:r>
    </w:p>
    <w:p w:rsidR="002B5E0B" w:rsidRPr="002B5E0B" w:rsidRDefault="002B5E0B" w:rsidP="00010D7D">
      <w:pPr>
        <w:pStyle w:val="ListParagraph"/>
        <w:numPr>
          <w:ilvl w:val="0"/>
          <w:numId w:val="12"/>
        </w:numPr>
        <w:suppressLineNumbers/>
        <w:ind w:hanging="648"/>
      </w:pPr>
      <w:r w:rsidRPr="002B5E0B">
        <w:t xml:space="preserve">    CEHE’s Existing Policies that Provide a Degree of </w:t>
      </w:r>
    </w:p>
    <w:p w:rsidR="002B5E0B" w:rsidRPr="002B5E0B" w:rsidRDefault="002B5E0B" w:rsidP="002B5E0B">
      <w:pPr>
        <w:suppressLineNumbers/>
        <w:spacing w:line="480" w:lineRule="auto"/>
        <w:rPr>
          <w:sz w:val="24"/>
          <w:szCs w:val="24"/>
        </w:rPr>
      </w:pPr>
      <w:r w:rsidRPr="002B5E0B">
        <w:rPr>
          <w:sz w:val="24"/>
          <w:szCs w:val="24"/>
        </w:rPr>
        <w:t xml:space="preserve">  </w:t>
      </w:r>
      <w:r w:rsidRPr="002B5E0B">
        <w:rPr>
          <w:sz w:val="24"/>
          <w:szCs w:val="24"/>
        </w:rPr>
        <w:tab/>
      </w:r>
      <w:r w:rsidRPr="002B5E0B">
        <w:rPr>
          <w:sz w:val="24"/>
          <w:szCs w:val="24"/>
        </w:rPr>
        <w:tab/>
      </w:r>
      <w:r w:rsidRPr="002B5E0B">
        <w:rPr>
          <w:sz w:val="24"/>
          <w:szCs w:val="24"/>
        </w:rPr>
        <w:tab/>
      </w:r>
      <w:r w:rsidRPr="002B5E0B">
        <w:rPr>
          <w:sz w:val="24"/>
          <w:szCs w:val="24"/>
        </w:rPr>
        <w:tab/>
      </w:r>
      <w:r w:rsidRPr="002B5E0B">
        <w:rPr>
          <w:sz w:val="24"/>
          <w:szCs w:val="24"/>
        </w:rPr>
        <w:tab/>
        <w:t>Separation from CenterPoint…..………………</w:t>
      </w:r>
      <w:r>
        <w:rPr>
          <w:sz w:val="24"/>
          <w:szCs w:val="24"/>
        </w:rPr>
        <w:t>...</w:t>
      </w:r>
      <w:r w:rsidRPr="002B5E0B">
        <w:rPr>
          <w:sz w:val="24"/>
          <w:szCs w:val="24"/>
        </w:rPr>
        <w:t>…….1</w:t>
      </w:r>
      <w:r>
        <w:rPr>
          <w:sz w:val="24"/>
          <w:szCs w:val="24"/>
        </w:rPr>
        <w:t>2</w:t>
      </w:r>
    </w:p>
    <w:p w:rsidR="00E6664B" w:rsidRDefault="002B5E0B" w:rsidP="000E5E44">
      <w:pPr>
        <w:pStyle w:val="ListParagraph"/>
        <w:numPr>
          <w:ilvl w:val="0"/>
          <w:numId w:val="12"/>
        </w:numPr>
        <w:suppressLineNumbers/>
        <w:spacing w:line="480" w:lineRule="auto"/>
        <w:ind w:hanging="918"/>
        <w:jc w:val="center"/>
      </w:pPr>
      <w:r>
        <w:t>Recommendations for Additional Protective Measures</w:t>
      </w:r>
      <w:r w:rsidR="00E6664B" w:rsidRPr="00F95905">
        <w:t>……………</w:t>
      </w:r>
      <w:r w:rsidR="00E6664B">
        <w:t>……….</w:t>
      </w:r>
      <w:r w:rsidR="00774857">
        <w:t>.</w:t>
      </w:r>
      <w:r w:rsidR="00E6664B">
        <w:t>1</w:t>
      </w:r>
      <w:r>
        <w:t>4</w:t>
      </w:r>
    </w:p>
    <w:p w:rsidR="00D216F2" w:rsidRPr="00F95905" w:rsidRDefault="00E6664B" w:rsidP="00E6664B">
      <w:pPr>
        <w:pStyle w:val="ListParagraph"/>
        <w:numPr>
          <w:ilvl w:val="0"/>
          <w:numId w:val="12"/>
        </w:numPr>
        <w:suppressLineNumbers/>
        <w:spacing w:line="480" w:lineRule="auto"/>
      </w:pPr>
      <w:r>
        <w:t xml:space="preserve">    </w:t>
      </w:r>
      <w:r w:rsidR="002B5E0B">
        <w:t>Excess ADFIT Related to CEHE’s Securitized Costs…</w:t>
      </w:r>
      <w:r w:rsidRPr="00F95905">
        <w:t>……………</w:t>
      </w:r>
      <w:r w:rsidR="00F43B0B">
        <w:t>.</w:t>
      </w:r>
      <w:r w:rsidRPr="00F95905">
        <w:t>…</w:t>
      </w:r>
      <w:r w:rsidR="00774857">
        <w:t>…</w:t>
      </w:r>
      <w:r>
        <w:t>…1</w:t>
      </w:r>
      <w:r w:rsidR="00681D40">
        <w:t>7</w:t>
      </w:r>
    </w:p>
    <w:p w:rsidR="00C20F4F" w:rsidRDefault="00C20F4F" w:rsidP="00D10DC2">
      <w:pPr>
        <w:suppressLineNumbers/>
        <w:ind w:left="648"/>
        <w:rPr>
          <w:sz w:val="24"/>
          <w:szCs w:val="24"/>
          <w:u w:val="single"/>
        </w:rPr>
      </w:pPr>
    </w:p>
    <w:p w:rsidR="00D10DC2" w:rsidRPr="00D10DC2" w:rsidRDefault="00D10DC2" w:rsidP="00D10DC2">
      <w:pPr>
        <w:suppressLineNumbers/>
        <w:ind w:left="648"/>
        <w:rPr>
          <w:sz w:val="24"/>
          <w:szCs w:val="24"/>
          <w:u w:val="single"/>
        </w:rPr>
      </w:pPr>
      <w:r w:rsidRPr="00D10DC2">
        <w:rPr>
          <w:sz w:val="24"/>
          <w:szCs w:val="24"/>
          <w:u w:val="single"/>
        </w:rPr>
        <w:t>Attachment DT-1</w:t>
      </w:r>
    </w:p>
    <w:p w:rsidR="00155E6A" w:rsidRDefault="00F95905" w:rsidP="00D10DC2">
      <w:pPr>
        <w:suppressLineNumbers/>
        <w:ind w:left="648"/>
        <w:rPr>
          <w:sz w:val="24"/>
          <w:szCs w:val="24"/>
        </w:rPr>
      </w:pPr>
      <w:r>
        <w:rPr>
          <w:sz w:val="24"/>
          <w:szCs w:val="24"/>
        </w:rPr>
        <w:t>List of Testimonies by Darryl Tietjen</w:t>
      </w:r>
    </w:p>
    <w:p w:rsidR="00D10DC2" w:rsidRDefault="00D10DC2" w:rsidP="00D10DC2">
      <w:pPr>
        <w:suppressLineNumbers/>
        <w:ind w:left="648"/>
        <w:rPr>
          <w:sz w:val="24"/>
          <w:szCs w:val="24"/>
        </w:rPr>
      </w:pPr>
    </w:p>
    <w:p w:rsidR="00C20A09" w:rsidRPr="00D10DC2" w:rsidRDefault="002B5E0B" w:rsidP="009C3EC3">
      <w:pPr>
        <w:suppressLineNumbers/>
        <w:ind w:left="648"/>
        <w:rPr>
          <w:sz w:val="24"/>
          <w:szCs w:val="24"/>
          <w:u w:val="single"/>
        </w:rPr>
      </w:pPr>
      <w:r w:rsidRPr="00D10DC2">
        <w:rPr>
          <w:sz w:val="24"/>
          <w:szCs w:val="24"/>
          <w:u w:val="single"/>
        </w:rPr>
        <w:t>Workpapers</w:t>
      </w:r>
      <w:r w:rsidR="009C3EC3" w:rsidRPr="00D10DC2">
        <w:rPr>
          <w:sz w:val="24"/>
          <w:szCs w:val="24"/>
        </w:rPr>
        <w:tab/>
      </w:r>
      <w:r w:rsidR="00C20A09" w:rsidRPr="00D10DC2">
        <w:rPr>
          <w:sz w:val="24"/>
          <w:szCs w:val="24"/>
        </w:rPr>
        <w:tab/>
      </w:r>
    </w:p>
    <w:p w:rsidR="002B5E0B" w:rsidRPr="00C20A09" w:rsidRDefault="009C3EC3" w:rsidP="00D10DC2">
      <w:pPr>
        <w:pStyle w:val="ListParagraph"/>
        <w:numPr>
          <w:ilvl w:val="0"/>
          <w:numId w:val="39"/>
        </w:numPr>
        <w:suppressLineNumbers/>
        <w:ind w:left="1440"/>
      </w:pPr>
      <w:r w:rsidRPr="00C20A09">
        <w:t>Moody’s</w:t>
      </w:r>
      <w:r w:rsidR="00C20A09" w:rsidRPr="00C20A09">
        <w:t xml:space="preserve">’ </w:t>
      </w:r>
      <w:r w:rsidRPr="00C20A09">
        <w:t>January 28, 2019 Report</w:t>
      </w:r>
      <w:r w:rsidR="00BA165A">
        <w:t xml:space="preserve"> (redacted)</w:t>
      </w:r>
    </w:p>
    <w:p w:rsidR="009C3EC3" w:rsidRPr="00C20A09" w:rsidRDefault="009C3EC3" w:rsidP="00D10DC2">
      <w:pPr>
        <w:pStyle w:val="ListParagraph"/>
        <w:numPr>
          <w:ilvl w:val="0"/>
          <w:numId w:val="39"/>
        </w:numPr>
        <w:suppressLineNumbers/>
        <w:ind w:left="1440"/>
      </w:pPr>
      <w:r w:rsidRPr="00C20A09">
        <w:t>Fitch Ratings</w:t>
      </w:r>
      <w:r w:rsidR="00C20A09" w:rsidRPr="00C20A09">
        <w:t>’</w:t>
      </w:r>
      <w:r w:rsidRPr="00C20A09">
        <w:t xml:space="preserve"> November 2, 2018 Report</w:t>
      </w:r>
      <w:r w:rsidR="00BA165A">
        <w:t xml:space="preserve"> (redacted)</w:t>
      </w:r>
    </w:p>
    <w:p w:rsidR="00C20A09" w:rsidRPr="00C20A09" w:rsidRDefault="00C20A09" w:rsidP="00D10DC2">
      <w:pPr>
        <w:pStyle w:val="ListParagraph"/>
        <w:numPr>
          <w:ilvl w:val="0"/>
          <w:numId w:val="39"/>
        </w:numPr>
        <w:suppressLineNumbers/>
        <w:ind w:left="1440"/>
      </w:pPr>
      <w:r w:rsidRPr="00C20A09">
        <w:t>S&amp;P Global Ratings’ February 1, 2019 Report</w:t>
      </w:r>
      <w:r w:rsidR="00BA165A">
        <w:t xml:space="preserve"> (redacted)</w:t>
      </w:r>
    </w:p>
    <w:p w:rsidR="00C20A09" w:rsidRPr="00C20A09" w:rsidRDefault="00C20A09" w:rsidP="00222195">
      <w:pPr>
        <w:pStyle w:val="ListParagraph"/>
        <w:numPr>
          <w:ilvl w:val="0"/>
          <w:numId w:val="39"/>
        </w:numPr>
        <w:suppressLineNumbers/>
        <w:ind w:left="1440"/>
      </w:pPr>
      <w:r w:rsidRPr="00C20A09">
        <w:t>Excerpt (one page) from Rebuttal Testimony of John J. Reed,</w:t>
      </w:r>
      <w:r w:rsidR="00D10DC2">
        <w:t xml:space="preserve"> </w:t>
      </w:r>
      <w:r w:rsidRPr="00C20A09">
        <w:t>Docket No. 38339</w:t>
      </w:r>
    </w:p>
    <w:p w:rsidR="00C20A09" w:rsidRPr="00C20A09" w:rsidRDefault="00C20A09" w:rsidP="00222195">
      <w:pPr>
        <w:pStyle w:val="ListParagraph"/>
        <w:numPr>
          <w:ilvl w:val="0"/>
          <w:numId w:val="39"/>
        </w:numPr>
        <w:suppressLineNumbers/>
        <w:ind w:left="1440"/>
      </w:pPr>
      <w:r w:rsidRPr="00C20A09">
        <w:t>CEHE Response (three pages) to GCCC RFI 1-07, Docket No. 38339</w:t>
      </w:r>
    </w:p>
    <w:p w:rsidR="00C20A09" w:rsidRPr="00C20A09" w:rsidRDefault="00C20A09" w:rsidP="00D10DC2">
      <w:pPr>
        <w:pStyle w:val="ListParagraph"/>
        <w:numPr>
          <w:ilvl w:val="0"/>
          <w:numId w:val="39"/>
        </w:numPr>
        <w:suppressLineNumbers/>
        <w:ind w:left="1440"/>
      </w:pPr>
      <w:r w:rsidRPr="00C20A09">
        <w:t>CEHE Response (one page) to TIEC RFI 2-06</w:t>
      </w:r>
    </w:p>
    <w:p w:rsidR="00C20A09" w:rsidRPr="00C20A09" w:rsidRDefault="00C20A09" w:rsidP="00D10DC2">
      <w:pPr>
        <w:pStyle w:val="ListParagraph"/>
        <w:numPr>
          <w:ilvl w:val="0"/>
          <w:numId w:val="39"/>
        </w:numPr>
        <w:suppressLineNumbers/>
        <w:ind w:left="1440"/>
      </w:pPr>
      <w:r w:rsidRPr="00C20A09">
        <w:t>CEHE Response (one page) to TIEC RFI 2-07</w:t>
      </w:r>
    </w:p>
    <w:p w:rsidR="00C20A09" w:rsidRPr="00C20A09" w:rsidRDefault="00C20A09" w:rsidP="00D10DC2">
      <w:pPr>
        <w:pStyle w:val="ListParagraph"/>
        <w:numPr>
          <w:ilvl w:val="0"/>
          <w:numId w:val="39"/>
        </w:numPr>
        <w:suppressLineNumbers/>
        <w:ind w:left="1440"/>
      </w:pPr>
      <w:r w:rsidRPr="00C20A09">
        <w:t>CEHE Response (one page) to TIEC RFI 2-08</w:t>
      </w:r>
    </w:p>
    <w:p w:rsidR="00C20A09" w:rsidRPr="00C20A09" w:rsidRDefault="00C20A09" w:rsidP="00D10DC2">
      <w:pPr>
        <w:pStyle w:val="ListParagraph"/>
        <w:numPr>
          <w:ilvl w:val="0"/>
          <w:numId w:val="39"/>
        </w:numPr>
        <w:suppressLineNumbers/>
        <w:ind w:left="1440"/>
      </w:pPr>
      <w:r w:rsidRPr="00C20A09">
        <w:t>CEHE Response (one page) to TIEC RFI 2-09</w:t>
      </w:r>
    </w:p>
    <w:p w:rsidR="009C3EC3" w:rsidRDefault="00C20A09" w:rsidP="00D10DC2">
      <w:pPr>
        <w:pStyle w:val="ListParagraph"/>
        <w:numPr>
          <w:ilvl w:val="0"/>
          <w:numId w:val="39"/>
        </w:numPr>
        <w:suppressLineNumbers/>
        <w:ind w:left="1440"/>
      </w:pPr>
      <w:r w:rsidRPr="00C20A09">
        <w:t>CEHE Response (one page) to TIEC RFI 2-10</w:t>
      </w:r>
    </w:p>
    <w:p w:rsidR="00AF7EC0" w:rsidRPr="00C20A09" w:rsidRDefault="00AF7EC0" w:rsidP="00D10DC2">
      <w:pPr>
        <w:pStyle w:val="ListParagraph"/>
        <w:numPr>
          <w:ilvl w:val="0"/>
          <w:numId w:val="39"/>
        </w:numPr>
        <w:suppressLineNumbers/>
        <w:ind w:left="1440"/>
      </w:pPr>
      <w:r w:rsidRPr="00C20A09">
        <w:t>CEHE Respon</w:t>
      </w:r>
      <w:r>
        <w:t>se (one page) to Staff RFI 13-03</w:t>
      </w:r>
    </w:p>
    <w:p w:rsidR="00C20A09" w:rsidRPr="00C20A09" w:rsidRDefault="00C20A09" w:rsidP="00D10DC2">
      <w:pPr>
        <w:pStyle w:val="ListParagraph"/>
        <w:numPr>
          <w:ilvl w:val="0"/>
          <w:numId w:val="39"/>
        </w:numPr>
        <w:suppressLineNumbers/>
        <w:ind w:left="1440"/>
      </w:pPr>
      <w:r w:rsidRPr="00C20A09">
        <w:t>CEHE Response (one page) to Staff RFI 13-04</w:t>
      </w:r>
    </w:p>
    <w:p w:rsidR="00C20A09" w:rsidRDefault="00C20A09" w:rsidP="00D10DC2">
      <w:pPr>
        <w:pStyle w:val="ListParagraph"/>
        <w:numPr>
          <w:ilvl w:val="0"/>
          <w:numId w:val="39"/>
        </w:numPr>
        <w:suppressLineNumbers/>
        <w:ind w:left="1440"/>
      </w:pPr>
      <w:r w:rsidRPr="00C20A09">
        <w:t>CEHE Response (one page) to Staff RFI 13-05</w:t>
      </w:r>
    </w:p>
    <w:p w:rsidR="00410B04" w:rsidRPr="00C20A09" w:rsidRDefault="00410B04" w:rsidP="00410B04">
      <w:pPr>
        <w:pStyle w:val="ListParagraph"/>
        <w:numPr>
          <w:ilvl w:val="0"/>
          <w:numId w:val="39"/>
        </w:numPr>
        <w:suppressLineNumbers/>
        <w:ind w:left="1440"/>
      </w:pPr>
      <w:r w:rsidRPr="00C20A09">
        <w:t xml:space="preserve">CEHE Response (one page) to </w:t>
      </w:r>
      <w:r>
        <w:t>GCCC</w:t>
      </w:r>
      <w:r w:rsidRPr="00C20A09">
        <w:t xml:space="preserve"> RFI 1-05</w:t>
      </w:r>
    </w:p>
    <w:p w:rsidR="00DE6E27" w:rsidRPr="00C20A09" w:rsidRDefault="00DE6E27" w:rsidP="00DE6E27">
      <w:pPr>
        <w:pStyle w:val="ListParagraph"/>
        <w:numPr>
          <w:ilvl w:val="0"/>
          <w:numId w:val="39"/>
        </w:numPr>
        <w:suppressLineNumbers/>
        <w:ind w:left="1440"/>
      </w:pPr>
      <w:r w:rsidRPr="00C20A09">
        <w:t>CEHE Response (</w:t>
      </w:r>
      <w:r>
        <w:t>four</w:t>
      </w:r>
      <w:r w:rsidRPr="00C20A09">
        <w:t xml:space="preserve"> page</w:t>
      </w:r>
      <w:r>
        <w:t>s</w:t>
      </w:r>
      <w:r w:rsidRPr="00C20A09">
        <w:t xml:space="preserve">) to </w:t>
      </w:r>
      <w:r>
        <w:t>GCCC</w:t>
      </w:r>
      <w:r w:rsidRPr="00C20A09">
        <w:t xml:space="preserve"> RFI </w:t>
      </w:r>
      <w:r>
        <w:t>3</w:t>
      </w:r>
      <w:r w:rsidRPr="00C20A09">
        <w:t>-0</w:t>
      </w:r>
      <w:r>
        <w:t>3</w:t>
      </w:r>
    </w:p>
    <w:p w:rsidR="00C20A09" w:rsidRPr="00C20A09" w:rsidRDefault="00C20A09" w:rsidP="00D10DC2">
      <w:pPr>
        <w:pStyle w:val="ListParagraph"/>
        <w:numPr>
          <w:ilvl w:val="0"/>
          <w:numId w:val="39"/>
        </w:numPr>
        <w:suppressLineNumbers/>
        <w:ind w:left="1440"/>
      </w:pPr>
      <w:r w:rsidRPr="00C20A09">
        <w:t>Direct Testimony of Darryl Tietjen (70 pages), Docket No. 30485</w:t>
      </w:r>
    </w:p>
    <w:p w:rsidR="00C20A09" w:rsidRDefault="00C20A09" w:rsidP="00C20A09">
      <w:pPr>
        <w:suppressLineNumbers/>
        <w:ind w:left="648"/>
        <w:rPr>
          <w:sz w:val="24"/>
          <w:szCs w:val="24"/>
        </w:rPr>
      </w:pPr>
    </w:p>
    <w:p w:rsidR="00155E6A" w:rsidRPr="00155E6A" w:rsidRDefault="00C20A09" w:rsidP="00C20A09">
      <w:pPr>
        <w:suppressLineNumbers/>
        <w:ind w:left="648"/>
        <w:rPr>
          <w:bCs/>
          <w:sz w:val="24"/>
          <w:szCs w:val="24"/>
        </w:rPr>
      </w:pPr>
      <w:r>
        <w:rPr>
          <w:sz w:val="24"/>
          <w:szCs w:val="24"/>
        </w:rPr>
        <w:tab/>
      </w:r>
      <w:r>
        <w:rPr>
          <w:sz w:val="24"/>
          <w:szCs w:val="24"/>
        </w:rPr>
        <w:tab/>
      </w:r>
      <w:r>
        <w:rPr>
          <w:sz w:val="24"/>
          <w:szCs w:val="24"/>
        </w:rPr>
        <w:tab/>
      </w:r>
      <w:r>
        <w:rPr>
          <w:sz w:val="24"/>
          <w:szCs w:val="24"/>
        </w:rPr>
        <w:tab/>
      </w:r>
    </w:p>
    <w:p w:rsidR="00155E6A" w:rsidRPr="00AF016C" w:rsidRDefault="00155E6A" w:rsidP="000378A4">
      <w:pPr>
        <w:suppressLineNumbers/>
        <w:spacing w:line="480" w:lineRule="auto"/>
        <w:ind w:left="648"/>
        <w:rPr>
          <w:b/>
        </w:rPr>
      </w:pPr>
    </w:p>
    <w:p w:rsidR="00C2348D" w:rsidRDefault="00C2348D" w:rsidP="00A411A4">
      <w:pPr>
        <w:pStyle w:val="BodyText"/>
        <w:suppressLineNumbers/>
        <w:spacing w:line="360" w:lineRule="auto"/>
        <w:jc w:val="center"/>
      </w:pPr>
    </w:p>
    <w:p w:rsidR="00004648" w:rsidRDefault="00004648" w:rsidP="00004648">
      <w:pPr>
        <w:spacing w:line="480" w:lineRule="exact"/>
        <w:ind w:left="720" w:right="360" w:hanging="72"/>
        <w:jc w:val="both"/>
        <w:rPr>
          <w:b/>
          <w:sz w:val="24"/>
        </w:rPr>
      </w:pPr>
      <w:r w:rsidRPr="006664B0">
        <w:rPr>
          <w:b/>
          <w:sz w:val="24"/>
          <w:u w:val="single"/>
        </w:rPr>
        <w:lastRenderedPageBreak/>
        <w:t xml:space="preserve">I.  </w:t>
      </w:r>
      <w:r w:rsidR="006B472B">
        <w:rPr>
          <w:b/>
          <w:sz w:val="24"/>
          <w:u w:val="single"/>
        </w:rPr>
        <w:tab/>
      </w:r>
      <w:r w:rsidRPr="006664B0">
        <w:rPr>
          <w:b/>
          <w:sz w:val="24"/>
          <w:u w:val="single"/>
        </w:rPr>
        <w:t>INTRODUCTION</w:t>
      </w:r>
      <w:r>
        <w:rPr>
          <w:b/>
          <w:sz w:val="24"/>
        </w:rPr>
        <w:t xml:space="preserve"> </w:t>
      </w:r>
    </w:p>
    <w:p w:rsidR="00004648" w:rsidRPr="006664B0" w:rsidRDefault="00004648" w:rsidP="00004648">
      <w:pPr>
        <w:spacing w:line="480" w:lineRule="exact"/>
        <w:ind w:left="720" w:right="360" w:hanging="720"/>
        <w:jc w:val="both"/>
        <w:rPr>
          <w:sz w:val="24"/>
        </w:rPr>
      </w:pPr>
      <w:r>
        <w:rPr>
          <w:b/>
          <w:sz w:val="24"/>
        </w:rPr>
        <w:t>Q.</w:t>
      </w:r>
      <w:r>
        <w:rPr>
          <w:b/>
          <w:sz w:val="24"/>
        </w:rPr>
        <w:tab/>
        <w:t xml:space="preserve">Please state your name and </w:t>
      </w:r>
      <w:r w:rsidRPr="006664B0">
        <w:rPr>
          <w:b/>
          <w:sz w:val="24"/>
        </w:rPr>
        <w:t>business address.</w:t>
      </w:r>
    </w:p>
    <w:p w:rsidR="00004648" w:rsidRPr="006664B0" w:rsidRDefault="00004648" w:rsidP="00004648">
      <w:pPr>
        <w:spacing w:line="480" w:lineRule="exact"/>
        <w:ind w:left="720" w:right="360" w:hanging="720"/>
        <w:jc w:val="both"/>
        <w:rPr>
          <w:sz w:val="24"/>
        </w:rPr>
      </w:pPr>
      <w:r w:rsidRPr="006664B0">
        <w:rPr>
          <w:sz w:val="24"/>
        </w:rPr>
        <w:t>A.</w:t>
      </w:r>
      <w:r w:rsidRPr="006664B0">
        <w:rPr>
          <w:sz w:val="24"/>
        </w:rPr>
        <w:tab/>
        <w:t>Darryl Tietjen, 1701 N. Congress Avenue, Austin, Texas.</w:t>
      </w:r>
      <w:r>
        <w:rPr>
          <w:sz w:val="24"/>
        </w:rPr>
        <w:t xml:space="preserve">  </w:t>
      </w:r>
    </w:p>
    <w:p w:rsidR="00004648" w:rsidRPr="006664B0" w:rsidRDefault="00004648" w:rsidP="00004648">
      <w:pPr>
        <w:ind w:right="360"/>
        <w:jc w:val="both"/>
        <w:rPr>
          <w:b/>
          <w:sz w:val="24"/>
        </w:rPr>
      </w:pPr>
    </w:p>
    <w:p w:rsidR="00004648" w:rsidRPr="006664B0" w:rsidRDefault="00004648" w:rsidP="00004648">
      <w:pPr>
        <w:spacing w:line="480" w:lineRule="exact"/>
        <w:ind w:right="360"/>
        <w:jc w:val="both"/>
        <w:rPr>
          <w:sz w:val="24"/>
        </w:rPr>
      </w:pPr>
      <w:r w:rsidRPr="006664B0">
        <w:rPr>
          <w:b/>
          <w:sz w:val="24"/>
        </w:rPr>
        <w:t>Q.</w:t>
      </w:r>
      <w:r w:rsidRPr="006664B0">
        <w:rPr>
          <w:b/>
          <w:sz w:val="24"/>
        </w:rPr>
        <w:tab/>
        <w:t>By whom are you employed and in what capacity?</w:t>
      </w:r>
    </w:p>
    <w:p w:rsidR="00004648" w:rsidRPr="006664B0" w:rsidRDefault="00004648" w:rsidP="00004648">
      <w:pPr>
        <w:spacing w:line="480" w:lineRule="exact"/>
        <w:ind w:left="720" w:right="360" w:hanging="720"/>
        <w:jc w:val="both"/>
        <w:rPr>
          <w:sz w:val="24"/>
        </w:rPr>
      </w:pPr>
      <w:r w:rsidRPr="006664B0">
        <w:rPr>
          <w:sz w:val="24"/>
        </w:rPr>
        <w:t>A.</w:t>
      </w:r>
      <w:r w:rsidRPr="006664B0">
        <w:rPr>
          <w:sz w:val="24"/>
        </w:rPr>
        <w:tab/>
        <w:t>I am employed by the Public Utility Commission of Texas (</w:t>
      </w:r>
      <w:r>
        <w:rPr>
          <w:sz w:val="24"/>
        </w:rPr>
        <w:t xml:space="preserve">PUC or </w:t>
      </w:r>
      <w:r w:rsidRPr="006664B0">
        <w:rPr>
          <w:sz w:val="24"/>
        </w:rPr>
        <w:t xml:space="preserve">Commission) as the Director of the </w:t>
      </w:r>
      <w:r>
        <w:rPr>
          <w:sz w:val="24"/>
        </w:rPr>
        <w:t>Rate Regulation Division</w:t>
      </w:r>
      <w:r w:rsidRPr="006664B0">
        <w:rPr>
          <w:sz w:val="24"/>
        </w:rPr>
        <w:t>.</w:t>
      </w:r>
    </w:p>
    <w:p w:rsidR="00004648" w:rsidRPr="006664B0" w:rsidRDefault="00004648" w:rsidP="00004648">
      <w:pPr>
        <w:ind w:left="720" w:right="360" w:hanging="720"/>
        <w:jc w:val="both"/>
        <w:rPr>
          <w:b/>
          <w:sz w:val="24"/>
        </w:rPr>
      </w:pPr>
    </w:p>
    <w:p w:rsidR="00004648" w:rsidRPr="006664B0" w:rsidRDefault="00004648" w:rsidP="00004648">
      <w:pPr>
        <w:spacing w:line="480" w:lineRule="exact"/>
        <w:ind w:left="720" w:right="360" w:hanging="720"/>
        <w:jc w:val="both"/>
        <w:rPr>
          <w:sz w:val="24"/>
        </w:rPr>
      </w:pPr>
      <w:r w:rsidRPr="006664B0">
        <w:rPr>
          <w:b/>
          <w:sz w:val="24"/>
        </w:rPr>
        <w:t>Q.</w:t>
      </w:r>
      <w:r w:rsidRPr="006664B0">
        <w:rPr>
          <w:b/>
          <w:sz w:val="24"/>
        </w:rPr>
        <w:tab/>
        <w:t>What are your principal areas of responsibility?</w:t>
      </w:r>
    </w:p>
    <w:p w:rsidR="00004648" w:rsidRPr="006664B0" w:rsidRDefault="00004648" w:rsidP="00004648">
      <w:pPr>
        <w:spacing w:line="480" w:lineRule="exact"/>
        <w:ind w:left="720" w:right="360" w:hanging="720"/>
        <w:jc w:val="both"/>
        <w:rPr>
          <w:sz w:val="24"/>
        </w:rPr>
      </w:pPr>
      <w:r w:rsidRPr="006664B0">
        <w:rPr>
          <w:sz w:val="24"/>
        </w:rPr>
        <w:t>A.</w:t>
      </w:r>
      <w:r w:rsidRPr="006664B0">
        <w:rPr>
          <w:sz w:val="24"/>
        </w:rPr>
        <w:tab/>
      </w:r>
      <w:r>
        <w:rPr>
          <w:sz w:val="24"/>
        </w:rPr>
        <w:t xml:space="preserve">In addition to the management of the Rate Regulation Division, </w:t>
      </w:r>
      <w:r w:rsidRPr="006664B0">
        <w:rPr>
          <w:sz w:val="24"/>
        </w:rPr>
        <w:t xml:space="preserve">I am responsible for recommending fair rates of return on invested capital, evaluating financial integrity requirements, conducting various financial analyses, </w:t>
      </w:r>
      <w:r>
        <w:rPr>
          <w:sz w:val="24"/>
        </w:rPr>
        <w:t xml:space="preserve">leading or participating in various rulemaking projects, </w:t>
      </w:r>
      <w:r w:rsidRPr="006664B0">
        <w:rPr>
          <w:sz w:val="24"/>
        </w:rPr>
        <w:t xml:space="preserve">and preparing testimony concerning </w:t>
      </w:r>
      <w:r>
        <w:rPr>
          <w:sz w:val="24"/>
        </w:rPr>
        <w:t xml:space="preserve">various </w:t>
      </w:r>
      <w:r w:rsidRPr="006664B0">
        <w:rPr>
          <w:sz w:val="24"/>
        </w:rPr>
        <w:t xml:space="preserve">financial matters relevant to public utilities regulated by the Commission.  </w:t>
      </w:r>
    </w:p>
    <w:p w:rsidR="00004648" w:rsidRPr="006664B0" w:rsidRDefault="00004648" w:rsidP="00004648">
      <w:pPr>
        <w:ind w:left="720" w:right="360" w:hanging="720"/>
        <w:jc w:val="both"/>
        <w:rPr>
          <w:b/>
          <w:sz w:val="24"/>
        </w:rPr>
      </w:pPr>
    </w:p>
    <w:p w:rsidR="00004648" w:rsidRPr="006664B0" w:rsidRDefault="00004648" w:rsidP="00004648">
      <w:pPr>
        <w:spacing w:line="480" w:lineRule="exact"/>
        <w:ind w:left="720" w:right="360" w:hanging="720"/>
        <w:jc w:val="both"/>
        <w:rPr>
          <w:sz w:val="24"/>
        </w:rPr>
      </w:pPr>
      <w:r w:rsidRPr="006664B0">
        <w:rPr>
          <w:b/>
          <w:sz w:val="24"/>
        </w:rPr>
        <w:t>Q.</w:t>
      </w:r>
      <w:r w:rsidRPr="006664B0">
        <w:rPr>
          <w:b/>
          <w:sz w:val="24"/>
        </w:rPr>
        <w:tab/>
        <w:t>Please describe your educational background and professional qualifications.</w:t>
      </w:r>
    </w:p>
    <w:p w:rsidR="00004648" w:rsidRPr="006664B0" w:rsidRDefault="00004648" w:rsidP="00004648">
      <w:pPr>
        <w:spacing w:line="480" w:lineRule="exact"/>
        <w:ind w:left="720" w:right="360" w:hanging="720"/>
        <w:jc w:val="both"/>
        <w:rPr>
          <w:sz w:val="24"/>
        </w:rPr>
      </w:pPr>
      <w:r w:rsidRPr="006664B0">
        <w:rPr>
          <w:sz w:val="24"/>
        </w:rPr>
        <w:t>A.</w:t>
      </w:r>
      <w:r w:rsidRPr="006664B0">
        <w:rPr>
          <w:sz w:val="24"/>
        </w:rPr>
        <w:tab/>
        <w:t>I hold a Master of Business Administration degree with concentrations in finance and accounting from The University of Texas at Austin</w:t>
      </w:r>
      <w:r>
        <w:rPr>
          <w:sz w:val="24"/>
        </w:rPr>
        <w:t xml:space="preserve"> (UT</w:t>
      </w:r>
      <w:r w:rsidR="007626B3">
        <w:rPr>
          <w:sz w:val="24"/>
        </w:rPr>
        <w:t xml:space="preserve"> </w:t>
      </w:r>
      <w:r>
        <w:rPr>
          <w:sz w:val="24"/>
        </w:rPr>
        <w:t>Austin)</w:t>
      </w:r>
      <w:r w:rsidRPr="006664B0">
        <w:rPr>
          <w:sz w:val="24"/>
        </w:rPr>
        <w:t>, and a Bachelor of Business Administration degree with a concentration in finance</w:t>
      </w:r>
      <w:r>
        <w:rPr>
          <w:sz w:val="24"/>
        </w:rPr>
        <w:t>, also</w:t>
      </w:r>
      <w:r w:rsidRPr="006664B0">
        <w:rPr>
          <w:sz w:val="24"/>
        </w:rPr>
        <w:t xml:space="preserve"> from </w:t>
      </w:r>
      <w:r>
        <w:rPr>
          <w:sz w:val="24"/>
        </w:rPr>
        <w:t>UT</w:t>
      </w:r>
      <w:r w:rsidR="007626B3">
        <w:rPr>
          <w:sz w:val="24"/>
        </w:rPr>
        <w:t xml:space="preserve"> </w:t>
      </w:r>
      <w:r>
        <w:rPr>
          <w:sz w:val="24"/>
        </w:rPr>
        <w:t>Austin</w:t>
      </w:r>
      <w:r w:rsidRPr="006664B0">
        <w:rPr>
          <w:sz w:val="24"/>
        </w:rPr>
        <w:t>.  While earning my master</w:t>
      </w:r>
      <w:r>
        <w:rPr>
          <w:sz w:val="24"/>
        </w:rPr>
        <w:t>’</w:t>
      </w:r>
      <w:r w:rsidRPr="006664B0">
        <w:rPr>
          <w:sz w:val="24"/>
        </w:rPr>
        <w:t xml:space="preserve">s degree, I was employed by </w:t>
      </w:r>
      <w:r>
        <w:rPr>
          <w:sz w:val="24"/>
        </w:rPr>
        <w:t>UT</w:t>
      </w:r>
      <w:r w:rsidR="007626B3">
        <w:rPr>
          <w:sz w:val="24"/>
        </w:rPr>
        <w:t xml:space="preserve"> </w:t>
      </w:r>
      <w:r>
        <w:rPr>
          <w:sz w:val="24"/>
        </w:rPr>
        <w:t xml:space="preserve">Austin </w:t>
      </w:r>
      <w:r w:rsidRPr="006664B0">
        <w:rPr>
          <w:sz w:val="24"/>
        </w:rPr>
        <w:t>as an instructor, teaching two sections of undergraduate corporate finance.  Prior to attending graduate school, I was employed by a commercial bank, where I was principally involved in investment activities and internal and external financial reporting.</w:t>
      </w:r>
    </w:p>
    <w:p w:rsidR="00004648" w:rsidRPr="006664B0" w:rsidRDefault="00004648" w:rsidP="00004648">
      <w:pPr>
        <w:spacing w:line="480" w:lineRule="exact"/>
        <w:ind w:left="720" w:right="360" w:hanging="720"/>
        <w:jc w:val="both"/>
        <w:rPr>
          <w:sz w:val="24"/>
        </w:rPr>
      </w:pPr>
      <w:r w:rsidRPr="006664B0">
        <w:rPr>
          <w:sz w:val="24"/>
        </w:rPr>
        <w:tab/>
      </w:r>
      <w:r w:rsidRPr="006664B0">
        <w:rPr>
          <w:sz w:val="24"/>
        </w:rPr>
        <w:tab/>
        <w:t xml:space="preserve">I am a Certified Public Accountant (CPA) licensed in the state of Texas and a member of the Texas Society of Certified Public Accountants (TSCPA).  </w:t>
      </w:r>
      <w:r>
        <w:rPr>
          <w:sz w:val="24"/>
        </w:rPr>
        <w:t xml:space="preserve">I </w:t>
      </w:r>
      <w:r w:rsidRPr="006664B0">
        <w:rPr>
          <w:sz w:val="24"/>
        </w:rPr>
        <w:t xml:space="preserve">have </w:t>
      </w:r>
      <w:r>
        <w:rPr>
          <w:sz w:val="24"/>
        </w:rPr>
        <w:t xml:space="preserve">twice </w:t>
      </w:r>
      <w:r w:rsidRPr="006664B0">
        <w:rPr>
          <w:sz w:val="24"/>
        </w:rPr>
        <w:t xml:space="preserve">served as </w:t>
      </w:r>
      <w:r>
        <w:rPr>
          <w:sz w:val="24"/>
        </w:rPr>
        <w:t xml:space="preserve">chairman of the annual </w:t>
      </w:r>
      <w:r w:rsidRPr="006664B0">
        <w:rPr>
          <w:sz w:val="24"/>
        </w:rPr>
        <w:t xml:space="preserve">TSCPA-sponsored </w:t>
      </w:r>
      <w:r>
        <w:rPr>
          <w:sz w:val="24"/>
        </w:rPr>
        <w:t xml:space="preserve">Energy </w:t>
      </w:r>
      <w:r w:rsidRPr="006664B0">
        <w:rPr>
          <w:sz w:val="24"/>
        </w:rPr>
        <w:t>Conference</w:t>
      </w:r>
      <w:r>
        <w:rPr>
          <w:sz w:val="24"/>
        </w:rPr>
        <w:t>, for which I have been a commi</w:t>
      </w:r>
      <w:r w:rsidR="00E36681">
        <w:rPr>
          <w:sz w:val="24"/>
        </w:rPr>
        <w:t>ttee member for approximately 19</w:t>
      </w:r>
      <w:r>
        <w:rPr>
          <w:sz w:val="24"/>
        </w:rPr>
        <w:t xml:space="preserve"> years</w:t>
      </w:r>
      <w:r w:rsidRPr="006664B0">
        <w:rPr>
          <w:sz w:val="24"/>
        </w:rPr>
        <w:t xml:space="preserve">.  </w:t>
      </w:r>
    </w:p>
    <w:p w:rsidR="00004648" w:rsidRPr="006664B0" w:rsidRDefault="00004648" w:rsidP="00004648">
      <w:pPr>
        <w:spacing w:line="480" w:lineRule="exact"/>
        <w:ind w:left="720" w:right="360" w:firstLine="720"/>
        <w:jc w:val="both"/>
        <w:rPr>
          <w:b/>
          <w:sz w:val="24"/>
        </w:rPr>
      </w:pPr>
      <w:r w:rsidRPr="006664B0">
        <w:rPr>
          <w:sz w:val="24"/>
        </w:rPr>
        <w:t xml:space="preserve">I also hold the designation of Chartered Financial Analyst (CFA), which is awarded by the </w:t>
      </w:r>
      <w:r>
        <w:rPr>
          <w:sz w:val="24"/>
        </w:rPr>
        <w:t xml:space="preserve">CFA Institute </w:t>
      </w:r>
      <w:r w:rsidRPr="006664B0">
        <w:rPr>
          <w:sz w:val="24"/>
        </w:rPr>
        <w:t xml:space="preserve">after successful completion of its three-part examination </w:t>
      </w:r>
      <w:r w:rsidRPr="006664B0">
        <w:rPr>
          <w:sz w:val="24"/>
        </w:rPr>
        <w:lastRenderedPageBreak/>
        <w:t>process over a minimum three-year period.  The curriculum for the CFA charter covers a defined body of knowledge fundamental to the practice of investment management, and includes the areas of finance, accounting, economics, statistics, and ethi</w:t>
      </w:r>
      <w:r>
        <w:rPr>
          <w:sz w:val="24"/>
        </w:rPr>
        <w:t xml:space="preserve">cal and professional conduct.  </w:t>
      </w:r>
      <w:r w:rsidRPr="006664B0">
        <w:rPr>
          <w:sz w:val="24"/>
        </w:rPr>
        <w:t xml:space="preserve"> </w:t>
      </w:r>
    </w:p>
    <w:p w:rsidR="00004648" w:rsidRPr="006664B0" w:rsidRDefault="00004648" w:rsidP="00004648">
      <w:pPr>
        <w:ind w:left="720" w:right="360" w:hanging="720"/>
        <w:jc w:val="both"/>
        <w:rPr>
          <w:b/>
          <w:sz w:val="24"/>
        </w:rPr>
      </w:pPr>
    </w:p>
    <w:p w:rsidR="00004648" w:rsidRPr="006664B0" w:rsidRDefault="00004648" w:rsidP="00004648">
      <w:pPr>
        <w:spacing w:line="480" w:lineRule="exact"/>
        <w:ind w:left="720" w:right="360" w:hanging="720"/>
        <w:jc w:val="both"/>
        <w:rPr>
          <w:sz w:val="24"/>
        </w:rPr>
      </w:pPr>
      <w:r w:rsidRPr="006664B0">
        <w:rPr>
          <w:b/>
          <w:sz w:val="24"/>
        </w:rPr>
        <w:t>Q.</w:t>
      </w:r>
      <w:r w:rsidRPr="006664B0">
        <w:rPr>
          <w:b/>
          <w:sz w:val="24"/>
        </w:rPr>
        <w:tab/>
        <w:t>Have you previously testified before this Commission?</w:t>
      </w:r>
    </w:p>
    <w:p w:rsidR="00004648" w:rsidRDefault="00004648" w:rsidP="00004648">
      <w:pPr>
        <w:spacing w:line="480" w:lineRule="exact"/>
        <w:ind w:left="720" w:right="360" w:hanging="720"/>
        <w:jc w:val="both"/>
        <w:rPr>
          <w:sz w:val="24"/>
        </w:rPr>
      </w:pPr>
      <w:r w:rsidRPr="006664B0">
        <w:rPr>
          <w:sz w:val="24"/>
        </w:rPr>
        <w:t>A.</w:t>
      </w:r>
      <w:r w:rsidRPr="006664B0">
        <w:rPr>
          <w:sz w:val="24"/>
        </w:rPr>
        <w:tab/>
        <w:t xml:space="preserve">Yes.  </w:t>
      </w:r>
      <w:r>
        <w:rPr>
          <w:sz w:val="24"/>
        </w:rPr>
        <w:t>Attachment</w:t>
      </w:r>
      <w:r w:rsidRPr="006664B0">
        <w:rPr>
          <w:sz w:val="24"/>
        </w:rPr>
        <w:t xml:space="preserve"> DT-1 provides a summary of the dockets in which I have filed direct </w:t>
      </w:r>
      <w:r w:rsidR="00925AC7">
        <w:rPr>
          <w:sz w:val="24"/>
        </w:rPr>
        <w:t xml:space="preserve">or other </w:t>
      </w:r>
      <w:r w:rsidRPr="006664B0">
        <w:rPr>
          <w:sz w:val="24"/>
        </w:rPr>
        <w:t>testimony.</w:t>
      </w:r>
    </w:p>
    <w:p w:rsidR="00004648" w:rsidRPr="006664B0" w:rsidRDefault="00004648" w:rsidP="00004648">
      <w:pPr>
        <w:ind w:left="720" w:right="360" w:hanging="720"/>
        <w:jc w:val="both"/>
        <w:rPr>
          <w:sz w:val="24"/>
        </w:rPr>
      </w:pPr>
      <w:r>
        <w:rPr>
          <w:sz w:val="24"/>
        </w:rPr>
        <w:t xml:space="preserve"> </w:t>
      </w:r>
    </w:p>
    <w:p w:rsidR="00004648" w:rsidRPr="0053655D" w:rsidRDefault="00004648" w:rsidP="00004648">
      <w:pPr>
        <w:spacing w:line="480" w:lineRule="exact"/>
        <w:ind w:left="720" w:right="360" w:hanging="720"/>
        <w:jc w:val="both"/>
        <w:rPr>
          <w:sz w:val="24"/>
          <w:szCs w:val="24"/>
        </w:rPr>
      </w:pPr>
      <w:r w:rsidRPr="0053655D">
        <w:rPr>
          <w:b/>
          <w:sz w:val="24"/>
          <w:szCs w:val="24"/>
        </w:rPr>
        <w:t>Q.</w:t>
      </w:r>
      <w:r w:rsidRPr="0053655D">
        <w:rPr>
          <w:b/>
          <w:sz w:val="24"/>
          <w:szCs w:val="24"/>
        </w:rPr>
        <w:tab/>
        <w:t xml:space="preserve">What is the purpose of your testimony in this case, Docket No. </w:t>
      </w:r>
      <w:r>
        <w:rPr>
          <w:b/>
          <w:sz w:val="24"/>
          <w:szCs w:val="24"/>
        </w:rPr>
        <w:t>4</w:t>
      </w:r>
      <w:r w:rsidR="005C19DF">
        <w:rPr>
          <w:b/>
          <w:sz w:val="24"/>
          <w:szCs w:val="24"/>
        </w:rPr>
        <w:t>9</w:t>
      </w:r>
      <w:r w:rsidR="00193DFF">
        <w:rPr>
          <w:b/>
          <w:sz w:val="24"/>
          <w:szCs w:val="24"/>
        </w:rPr>
        <w:t>421</w:t>
      </w:r>
      <w:r w:rsidRPr="0053655D">
        <w:rPr>
          <w:b/>
          <w:sz w:val="24"/>
          <w:szCs w:val="24"/>
        </w:rPr>
        <w:t xml:space="preserve">, </w:t>
      </w:r>
      <w:r w:rsidR="00E36681">
        <w:rPr>
          <w:b/>
          <w:i/>
          <w:sz w:val="24"/>
          <w:szCs w:val="24"/>
        </w:rPr>
        <w:t xml:space="preserve">Application of </w:t>
      </w:r>
      <w:r w:rsidR="00891767">
        <w:rPr>
          <w:b/>
          <w:i/>
          <w:sz w:val="24"/>
          <w:szCs w:val="24"/>
        </w:rPr>
        <w:t>CenterPoint Energy Houston Electric, LLC for Authority to Change Rates</w:t>
      </w:r>
      <w:r w:rsidRPr="005C19DF">
        <w:rPr>
          <w:b/>
          <w:sz w:val="24"/>
          <w:szCs w:val="24"/>
        </w:rPr>
        <w:t>?</w:t>
      </w:r>
    </w:p>
    <w:p w:rsidR="0070434B" w:rsidRDefault="00004648" w:rsidP="0070434B">
      <w:pPr>
        <w:spacing w:line="480" w:lineRule="exact"/>
        <w:ind w:left="720" w:right="360" w:hanging="720"/>
        <w:jc w:val="both"/>
        <w:rPr>
          <w:sz w:val="24"/>
          <w:szCs w:val="24"/>
        </w:rPr>
      </w:pPr>
      <w:r w:rsidRPr="0053655D">
        <w:rPr>
          <w:sz w:val="24"/>
          <w:szCs w:val="24"/>
        </w:rPr>
        <w:t>A.</w:t>
      </w:r>
      <w:r w:rsidRPr="0053655D">
        <w:rPr>
          <w:sz w:val="24"/>
          <w:szCs w:val="24"/>
        </w:rPr>
        <w:tab/>
      </w:r>
      <w:r w:rsidR="00817DBD">
        <w:rPr>
          <w:sz w:val="24"/>
        </w:rPr>
        <w:t xml:space="preserve">The purpose of my testimony is to </w:t>
      </w:r>
      <w:r w:rsidR="00891767">
        <w:rPr>
          <w:sz w:val="24"/>
        </w:rPr>
        <w:t xml:space="preserve">address the following </w:t>
      </w:r>
      <w:r w:rsidR="00A541B3">
        <w:rPr>
          <w:sz w:val="24"/>
        </w:rPr>
        <w:t>question</w:t>
      </w:r>
      <w:r w:rsidR="00891767">
        <w:rPr>
          <w:sz w:val="24"/>
        </w:rPr>
        <w:t xml:space="preserve"> from the Commission’s </w:t>
      </w:r>
      <w:r w:rsidR="00891767" w:rsidRPr="00891767">
        <w:rPr>
          <w:i/>
          <w:sz w:val="24"/>
        </w:rPr>
        <w:t>Preliminary Order</w:t>
      </w:r>
      <w:r w:rsidR="00891767">
        <w:rPr>
          <w:sz w:val="24"/>
        </w:rPr>
        <w:t xml:space="preserve"> filed May 9, 2019 (as numbered therein):  </w:t>
      </w:r>
    </w:p>
    <w:p w:rsidR="0070434B" w:rsidRDefault="0070434B" w:rsidP="0070434B">
      <w:pPr>
        <w:ind w:left="1800" w:right="720" w:hanging="360"/>
        <w:jc w:val="both"/>
        <w:rPr>
          <w:sz w:val="24"/>
        </w:rPr>
      </w:pPr>
    </w:p>
    <w:p w:rsidR="009D30D1" w:rsidRDefault="00891767" w:rsidP="00891767">
      <w:pPr>
        <w:ind w:left="1800" w:right="720" w:hanging="360"/>
        <w:jc w:val="both"/>
        <w:rPr>
          <w:sz w:val="24"/>
        </w:rPr>
      </w:pPr>
      <w:r>
        <w:rPr>
          <w:sz w:val="24"/>
        </w:rPr>
        <w:t>9</w:t>
      </w:r>
      <w:r w:rsidR="006B472B">
        <w:rPr>
          <w:sz w:val="24"/>
        </w:rPr>
        <w:t xml:space="preserve">. </w:t>
      </w:r>
      <w:r w:rsidR="006B472B">
        <w:rPr>
          <w:sz w:val="24"/>
        </w:rPr>
        <w:tab/>
      </w:r>
      <w:r>
        <w:rPr>
          <w:sz w:val="24"/>
        </w:rPr>
        <w:t xml:space="preserve">Are any protections, such as financial protections, appropriate to protect CenterPoint’s financial integrity and ability to provide reliable service at just and reasonable rates?  </w:t>
      </w:r>
    </w:p>
    <w:p w:rsidR="00891767" w:rsidRDefault="00891767" w:rsidP="000B190C">
      <w:pPr>
        <w:ind w:left="720" w:right="360"/>
        <w:jc w:val="both"/>
        <w:rPr>
          <w:sz w:val="24"/>
        </w:rPr>
      </w:pPr>
    </w:p>
    <w:p w:rsidR="00C70077" w:rsidRDefault="00C70077" w:rsidP="00C70077">
      <w:pPr>
        <w:spacing w:line="480" w:lineRule="exact"/>
        <w:ind w:left="720" w:right="360"/>
        <w:jc w:val="both"/>
        <w:rPr>
          <w:sz w:val="24"/>
        </w:rPr>
      </w:pPr>
      <w:r>
        <w:rPr>
          <w:sz w:val="24"/>
        </w:rPr>
        <w:t xml:space="preserve">Additionally, I address the issue of excess </w:t>
      </w:r>
      <w:r w:rsidR="005D19C6">
        <w:rPr>
          <w:sz w:val="24"/>
        </w:rPr>
        <w:t>portions</w:t>
      </w:r>
      <w:r>
        <w:rPr>
          <w:sz w:val="24"/>
        </w:rPr>
        <w:t xml:space="preserve"> of accumulated deferred federal income tax expense related to the securitized amounts of stranded costs and system restoration costs that CenterPoint Energy Houston Electric, LLC (CEHE) reflects in its rates.</w:t>
      </w:r>
    </w:p>
    <w:p w:rsidR="00C70077" w:rsidRDefault="00C70077" w:rsidP="000B190C">
      <w:pPr>
        <w:ind w:left="720" w:right="360"/>
        <w:jc w:val="both"/>
        <w:rPr>
          <w:sz w:val="24"/>
        </w:rPr>
      </w:pPr>
    </w:p>
    <w:p w:rsidR="009D5157" w:rsidRDefault="009D5157" w:rsidP="009508FE">
      <w:pPr>
        <w:spacing w:line="480" w:lineRule="exact"/>
        <w:ind w:left="720" w:right="360" w:hanging="720"/>
        <w:jc w:val="both"/>
        <w:rPr>
          <w:b/>
          <w:sz w:val="24"/>
        </w:rPr>
      </w:pPr>
      <w:r>
        <w:rPr>
          <w:b/>
          <w:sz w:val="24"/>
        </w:rPr>
        <w:t>Q.</w:t>
      </w:r>
      <w:r>
        <w:rPr>
          <w:b/>
          <w:sz w:val="24"/>
        </w:rPr>
        <w:tab/>
      </w:r>
      <w:r w:rsidR="00C11372">
        <w:rPr>
          <w:b/>
          <w:sz w:val="24"/>
        </w:rPr>
        <w:t xml:space="preserve">Under what provisions of the Public Utility Regulatory Act (PURA) </w:t>
      </w:r>
      <w:r w:rsidR="00CE5827">
        <w:rPr>
          <w:b/>
          <w:sz w:val="24"/>
        </w:rPr>
        <w:t>are you making your recommendations?</w:t>
      </w:r>
    </w:p>
    <w:p w:rsidR="00CE5827" w:rsidRDefault="009D5157" w:rsidP="009D5157">
      <w:pPr>
        <w:spacing w:line="480" w:lineRule="exact"/>
        <w:ind w:left="720" w:right="360" w:hanging="720"/>
        <w:jc w:val="both"/>
        <w:rPr>
          <w:sz w:val="24"/>
        </w:rPr>
      </w:pPr>
      <w:r w:rsidRPr="009D5157">
        <w:rPr>
          <w:sz w:val="24"/>
        </w:rPr>
        <w:t>A.</w:t>
      </w:r>
      <w:r w:rsidRPr="009D5157">
        <w:rPr>
          <w:sz w:val="24"/>
        </w:rPr>
        <w:tab/>
      </w:r>
      <w:r w:rsidR="00CE5827">
        <w:rPr>
          <w:sz w:val="24"/>
        </w:rPr>
        <w:t>PURA §§ 11.002 (</w:t>
      </w:r>
      <w:r w:rsidR="00CE5827" w:rsidRPr="00ED44F1">
        <w:rPr>
          <w:sz w:val="24"/>
        </w:rPr>
        <w:t>Purpose and Findings) and 14.001 (Power to Regulate and Supervise)</w:t>
      </w:r>
      <w:r w:rsidR="00CE5827">
        <w:rPr>
          <w:sz w:val="24"/>
        </w:rPr>
        <w:t xml:space="preserve"> </w:t>
      </w:r>
      <w:r w:rsidR="00E85A0A">
        <w:rPr>
          <w:sz w:val="24"/>
        </w:rPr>
        <w:t>provide</w:t>
      </w:r>
      <w:r w:rsidR="00CE5827">
        <w:rPr>
          <w:sz w:val="24"/>
        </w:rPr>
        <w:t xml:space="preserve"> the bas</w:t>
      </w:r>
      <w:r w:rsidR="00AC5AE7">
        <w:rPr>
          <w:sz w:val="24"/>
        </w:rPr>
        <w:t>e</w:t>
      </w:r>
      <w:r w:rsidR="00CE5827">
        <w:rPr>
          <w:sz w:val="24"/>
        </w:rPr>
        <w:t>s for my recommendations in this proceeding.  PURA § 11.002 provides in subsections (a) and (b) that:</w:t>
      </w:r>
    </w:p>
    <w:p w:rsidR="00CE5827" w:rsidRDefault="00CE5827" w:rsidP="00CE5827">
      <w:pPr>
        <w:ind w:left="1440" w:right="792" w:hanging="1440"/>
        <w:jc w:val="both"/>
        <w:rPr>
          <w:sz w:val="24"/>
        </w:rPr>
      </w:pPr>
      <w:r>
        <w:rPr>
          <w:sz w:val="24"/>
        </w:rPr>
        <w:tab/>
      </w:r>
    </w:p>
    <w:p w:rsidR="00CE5827" w:rsidRDefault="00CE5827" w:rsidP="00CE5827">
      <w:pPr>
        <w:pStyle w:val="ListParagraph"/>
        <w:numPr>
          <w:ilvl w:val="0"/>
          <w:numId w:val="26"/>
        </w:numPr>
        <w:ind w:right="792" w:hanging="450"/>
        <w:jc w:val="both"/>
      </w:pPr>
      <w:r w:rsidRPr="00CE5827">
        <w:t xml:space="preserve">This title is enacted to protect the public interest inherent in the rates and services of public utilities. </w:t>
      </w:r>
      <w:r w:rsidR="00334BF0">
        <w:t xml:space="preserve"> </w:t>
      </w:r>
      <w:r w:rsidRPr="00CE5827">
        <w:t xml:space="preserve">The purpose of this title is to establish a comprehensive and adequate regulatory system for </w:t>
      </w:r>
      <w:r w:rsidRPr="00CE5827">
        <w:lastRenderedPageBreak/>
        <w:t xml:space="preserve">public utilities to assure rates, operations, and services that are just and reasonable to the consumers and to the utilities. </w:t>
      </w:r>
    </w:p>
    <w:p w:rsidR="00334BF0" w:rsidRDefault="00334BF0" w:rsidP="00334BF0">
      <w:pPr>
        <w:pStyle w:val="ListParagraph"/>
        <w:ind w:left="2160" w:right="792"/>
        <w:jc w:val="both"/>
      </w:pPr>
    </w:p>
    <w:p w:rsidR="00CE5827" w:rsidRPr="00CE5827" w:rsidRDefault="00CE5827" w:rsidP="00CE5827">
      <w:pPr>
        <w:pStyle w:val="ListParagraph"/>
        <w:numPr>
          <w:ilvl w:val="0"/>
          <w:numId w:val="26"/>
        </w:numPr>
        <w:ind w:right="792" w:hanging="450"/>
        <w:jc w:val="both"/>
      </w:pPr>
      <w:r w:rsidRPr="00CE5827">
        <w:t xml:space="preserve">Public utilities traditionally are by definition monopolies in the areas they serve. </w:t>
      </w:r>
      <w:r w:rsidR="00334BF0">
        <w:t xml:space="preserve"> </w:t>
      </w:r>
      <w:r w:rsidRPr="00CE5827">
        <w:t xml:space="preserve">As a result, the normal forces of competition that regulate prices in a free enterprise society do not operate. </w:t>
      </w:r>
      <w:r w:rsidR="00334BF0">
        <w:t xml:space="preserve"> </w:t>
      </w:r>
      <w:r w:rsidRPr="00CE5827">
        <w:t>Public agencies regulate utility rates, operations, and services as a substitute for competition</w:t>
      </w:r>
      <w:r w:rsidR="00334BF0">
        <w:t>.</w:t>
      </w:r>
    </w:p>
    <w:p w:rsidR="00CE5827" w:rsidRPr="00CE5827" w:rsidRDefault="00CE5827" w:rsidP="00A16DDF">
      <w:pPr>
        <w:ind w:left="720" w:right="360" w:hanging="720"/>
        <w:jc w:val="both"/>
        <w:rPr>
          <w:sz w:val="24"/>
          <w:szCs w:val="24"/>
        </w:rPr>
      </w:pPr>
    </w:p>
    <w:p w:rsidR="00CE5827" w:rsidRDefault="00CE5827" w:rsidP="009D5157">
      <w:pPr>
        <w:spacing w:line="480" w:lineRule="exact"/>
        <w:ind w:left="720" w:right="360" w:hanging="720"/>
        <w:jc w:val="both"/>
        <w:rPr>
          <w:sz w:val="24"/>
          <w:szCs w:val="24"/>
        </w:rPr>
      </w:pPr>
      <w:r w:rsidRPr="00CE5827">
        <w:rPr>
          <w:sz w:val="24"/>
          <w:szCs w:val="24"/>
        </w:rPr>
        <w:tab/>
        <w:t>PURA § 14.001 states that:</w:t>
      </w:r>
    </w:p>
    <w:p w:rsidR="00CE5827" w:rsidRDefault="00CE5827" w:rsidP="00CE5827">
      <w:pPr>
        <w:ind w:left="2160" w:right="792" w:hanging="2160"/>
        <w:jc w:val="both"/>
        <w:rPr>
          <w:sz w:val="24"/>
          <w:szCs w:val="24"/>
        </w:rPr>
      </w:pPr>
    </w:p>
    <w:p w:rsidR="00CE5827" w:rsidRDefault="00CE5827" w:rsidP="00443B63">
      <w:pPr>
        <w:tabs>
          <w:tab w:val="left" w:pos="1710"/>
        </w:tabs>
        <w:ind w:left="1710" w:right="792" w:hanging="1710"/>
        <w:jc w:val="both"/>
        <w:rPr>
          <w:sz w:val="24"/>
          <w:szCs w:val="24"/>
        </w:rPr>
      </w:pPr>
      <w:r w:rsidRPr="00CE5827">
        <w:rPr>
          <w:sz w:val="24"/>
          <w:szCs w:val="24"/>
        </w:rPr>
        <w:tab/>
        <w:t xml:space="preserve">The commission has the general power to </w:t>
      </w:r>
      <w:r w:rsidRPr="00ED44F1">
        <w:rPr>
          <w:i/>
          <w:sz w:val="24"/>
          <w:szCs w:val="24"/>
        </w:rPr>
        <w:t>regulate and supervise</w:t>
      </w:r>
      <w:r w:rsidRPr="00CE5827">
        <w:rPr>
          <w:sz w:val="24"/>
          <w:szCs w:val="24"/>
        </w:rPr>
        <w:t xml:space="preserve"> </w:t>
      </w:r>
      <w:r w:rsidR="00EC6C95">
        <w:rPr>
          <w:sz w:val="24"/>
          <w:szCs w:val="24"/>
        </w:rPr>
        <w:t xml:space="preserve">[emphasis added] </w:t>
      </w:r>
      <w:r w:rsidRPr="00CE5827">
        <w:rPr>
          <w:sz w:val="24"/>
          <w:szCs w:val="24"/>
        </w:rPr>
        <w:t>the business of each public utility within its jurisdiction and to do anything specifically designated or implied by this title that is necessary and convenient to the exercise of that power and jurisdiction.</w:t>
      </w:r>
      <w:r w:rsidR="00ED44F1">
        <w:rPr>
          <w:sz w:val="24"/>
          <w:szCs w:val="24"/>
        </w:rPr>
        <w:t xml:space="preserve"> </w:t>
      </w:r>
    </w:p>
    <w:p w:rsidR="00334BF0" w:rsidRPr="00CE5827" w:rsidRDefault="00334BF0" w:rsidP="00CE5827">
      <w:pPr>
        <w:ind w:left="2160" w:right="792" w:hanging="2160"/>
        <w:jc w:val="both"/>
        <w:rPr>
          <w:sz w:val="24"/>
          <w:szCs w:val="24"/>
        </w:rPr>
      </w:pPr>
    </w:p>
    <w:p w:rsidR="00CE5827" w:rsidRDefault="00334BF0" w:rsidP="009D5157">
      <w:pPr>
        <w:spacing w:line="480" w:lineRule="exact"/>
        <w:ind w:left="720" w:right="360" w:hanging="720"/>
        <w:jc w:val="both"/>
        <w:rPr>
          <w:sz w:val="24"/>
        </w:rPr>
      </w:pPr>
      <w:r>
        <w:rPr>
          <w:sz w:val="24"/>
        </w:rPr>
        <w:tab/>
      </w:r>
      <w:r w:rsidR="001B38F2" w:rsidRPr="005B71DF">
        <w:rPr>
          <w:sz w:val="24"/>
        </w:rPr>
        <w:t xml:space="preserve">From a financial perspective, </w:t>
      </w:r>
      <w:r w:rsidR="00ED44F1" w:rsidRPr="005B71DF">
        <w:rPr>
          <w:sz w:val="24"/>
        </w:rPr>
        <w:t>t</w:t>
      </w:r>
      <w:r w:rsidRPr="005B71DF">
        <w:rPr>
          <w:sz w:val="24"/>
        </w:rPr>
        <w:t>he plain</w:t>
      </w:r>
      <w:r>
        <w:rPr>
          <w:sz w:val="24"/>
        </w:rPr>
        <w:t xml:space="preserve"> meaning of the above statutory provisions</w:t>
      </w:r>
      <w:r w:rsidR="00D850D4">
        <w:rPr>
          <w:sz w:val="24"/>
        </w:rPr>
        <w:t xml:space="preserve"> sets out and</w:t>
      </w:r>
      <w:r>
        <w:rPr>
          <w:sz w:val="24"/>
        </w:rPr>
        <w:t xml:space="preserve"> </w:t>
      </w:r>
      <w:r w:rsidR="00A541B3">
        <w:rPr>
          <w:sz w:val="24"/>
        </w:rPr>
        <w:t>attests to</w:t>
      </w:r>
      <w:r w:rsidR="00443B63">
        <w:rPr>
          <w:sz w:val="24"/>
        </w:rPr>
        <w:t xml:space="preserve"> </w:t>
      </w:r>
      <w:r>
        <w:rPr>
          <w:sz w:val="24"/>
        </w:rPr>
        <w:t>the Commission</w:t>
      </w:r>
      <w:r w:rsidR="00443B63">
        <w:rPr>
          <w:sz w:val="24"/>
        </w:rPr>
        <w:t>’s</w:t>
      </w:r>
      <w:r>
        <w:rPr>
          <w:sz w:val="24"/>
        </w:rPr>
        <w:t xml:space="preserve"> broad authority over the rates</w:t>
      </w:r>
      <w:r w:rsidR="000B190C">
        <w:rPr>
          <w:sz w:val="24"/>
        </w:rPr>
        <w:t xml:space="preserve">, </w:t>
      </w:r>
      <w:r>
        <w:rPr>
          <w:sz w:val="24"/>
        </w:rPr>
        <w:t>operations</w:t>
      </w:r>
      <w:r w:rsidR="000B190C">
        <w:rPr>
          <w:sz w:val="24"/>
        </w:rPr>
        <w:t>, and services</w:t>
      </w:r>
      <w:r>
        <w:rPr>
          <w:sz w:val="24"/>
        </w:rPr>
        <w:t xml:space="preserve"> of public utilities it regulates.  </w:t>
      </w:r>
      <w:r w:rsidR="00443B63">
        <w:rPr>
          <w:sz w:val="24"/>
        </w:rPr>
        <w:t>Accordingly,</w:t>
      </w:r>
      <w:r>
        <w:rPr>
          <w:sz w:val="24"/>
        </w:rPr>
        <w:t xml:space="preserve"> </w:t>
      </w:r>
      <w:r w:rsidR="000B190C">
        <w:rPr>
          <w:sz w:val="24"/>
        </w:rPr>
        <w:t>I believe</w:t>
      </w:r>
      <w:r w:rsidR="00A541B3">
        <w:rPr>
          <w:sz w:val="24"/>
        </w:rPr>
        <w:t xml:space="preserve"> that, </w:t>
      </w:r>
      <w:r w:rsidR="00443B63">
        <w:rPr>
          <w:sz w:val="24"/>
        </w:rPr>
        <w:t xml:space="preserve">consistent with </w:t>
      </w:r>
      <w:r w:rsidR="000B190C">
        <w:rPr>
          <w:sz w:val="24"/>
        </w:rPr>
        <w:t xml:space="preserve">the </w:t>
      </w:r>
      <w:r w:rsidR="00D955F5">
        <w:rPr>
          <w:sz w:val="24"/>
        </w:rPr>
        <w:t>implicit</w:t>
      </w:r>
      <w:r w:rsidR="000B190C">
        <w:rPr>
          <w:sz w:val="24"/>
        </w:rPr>
        <w:t xml:space="preserve"> underpinnings of </w:t>
      </w:r>
      <w:r w:rsidR="00443B63" w:rsidRPr="00443B63">
        <w:rPr>
          <w:i/>
          <w:sz w:val="24"/>
        </w:rPr>
        <w:t>Preliminary Order</w:t>
      </w:r>
      <w:r w:rsidR="00443B63">
        <w:rPr>
          <w:sz w:val="24"/>
        </w:rPr>
        <w:t xml:space="preserve"> </w:t>
      </w:r>
      <w:r w:rsidR="00A541B3">
        <w:rPr>
          <w:sz w:val="24"/>
        </w:rPr>
        <w:t>question</w:t>
      </w:r>
      <w:r w:rsidR="00443B63">
        <w:rPr>
          <w:sz w:val="24"/>
        </w:rPr>
        <w:t xml:space="preserve"> #9, </w:t>
      </w:r>
      <w:r>
        <w:rPr>
          <w:sz w:val="24"/>
        </w:rPr>
        <w:t xml:space="preserve">the Commission’s ability to establish protective measures that help ensure a utility’s financial integrity and </w:t>
      </w:r>
      <w:r w:rsidR="00443B63">
        <w:rPr>
          <w:sz w:val="24"/>
        </w:rPr>
        <w:t xml:space="preserve">that </w:t>
      </w:r>
      <w:r>
        <w:rPr>
          <w:sz w:val="24"/>
        </w:rPr>
        <w:t xml:space="preserve">facilitate the utility’s ability to provide reliable service at just and reasonable rates </w:t>
      </w:r>
      <w:r w:rsidR="00443B63">
        <w:rPr>
          <w:sz w:val="24"/>
        </w:rPr>
        <w:t>is, under any reasonable interpr</w:t>
      </w:r>
      <w:r w:rsidR="00A541B3">
        <w:rPr>
          <w:sz w:val="24"/>
        </w:rPr>
        <w:t>eta</w:t>
      </w:r>
      <w:r w:rsidR="00443B63">
        <w:rPr>
          <w:sz w:val="24"/>
        </w:rPr>
        <w:t xml:space="preserve">tion of the </w:t>
      </w:r>
      <w:r w:rsidR="00A541B3">
        <w:rPr>
          <w:sz w:val="24"/>
        </w:rPr>
        <w:t xml:space="preserve">statutory </w:t>
      </w:r>
      <w:r w:rsidR="00443B63">
        <w:rPr>
          <w:sz w:val="24"/>
        </w:rPr>
        <w:t xml:space="preserve">language, a legitimate application of the Commission’s general </w:t>
      </w:r>
      <w:r w:rsidR="00A541B3">
        <w:rPr>
          <w:sz w:val="24"/>
        </w:rPr>
        <w:t xml:space="preserve">regulatory oversight function and its </w:t>
      </w:r>
      <w:r w:rsidR="00443B63">
        <w:rPr>
          <w:sz w:val="24"/>
        </w:rPr>
        <w:t xml:space="preserve">authority to </w:t>
      </w:r>
      <w:r w:rsidR="00A541B3">
        <w:rPr>
          <w:sz w:val="24"/>
        </w:rPr>
        <w:t>“</w:t>
      </w:r>
      <w:r w:rsidR="00443B63">
        <w:rPr>
          <w:sz w:val="24"/>
        </w:rPr>
        <w:t>regulate and supervise</w:t>
      </w:r>
      <w:r w:rsidR="00A541B3">
        <w:rPr>
          <w:sz w:val="24"/>
        </w:rPr>
        <w:t>.”</w:t>
      </w:r>
    </w:p>
    <w:p w:rsidR="001B38F2" w:rsidRDefault="001B38F2" w:rsidP="009D5157">
      <w:pPr>
        <w:spacing w:line="480" w:lineRule="exact"/>
        <w:ind w:left="720" w:right="360" w:hanging="720"/>
        <w:jc w:val="both"/>
        <w:rPr>
          <w:sz w:val="24"/>
        </w:rPr>
      </w:pPr>
    </w:p>
    <w:p w:rsidR="00CD2FBD" w:rsidRPr="00277381" w:rsidRDefault="00CD2FBD" w:rsidP="00CD2FBD">
      <w:pPr>
        <w:spacing w:line="480" w:lineRule="exact"/>
        <w:ind w:left="720" w:right="360" w:hanging="720"/>
        <w:jc w:val="both"/>
        <w:rPr>
          <w:b/>
          <w:sz w:val="24"/>
          <w:u w:val="single"/>
        </w:rPr>
      </w:pPr>
      <w:r w:rsidRPr="00277381">
        <w:rPr>
          <w:b/>
          <w:sz w:val="24"/>
        </w:rPr>
        <w:tab/>
      </w:r>
      <w:r w:rsidRPr="00277381">
        <w:rPr>
          <w:b/>
          <w:sz w:val="24"/>
          <w:u w:val="single"/>
        </w:rPr>
        <w:t>II.</w:t>
      </w:r>
      <w:r w:rsidRPr="00277381">
        <w:rPr>
          <w:b/>
          <w:sz w:val="24"/>
          <w:u w:val="single"/>
        </w:rPr>
        <w:tab/>
        <w:t>RECOMMENDATIONS</w:t>
      </w:r>
    </w:p>
    <w:p w:rsidR="00CD2FBD" w:rsidRPr="00277381" w:rsidRDefault="00CD2FBD" w:rsidP="00CD2FBD">
      <w:pPr>
        <w:spacing w:line="480" w:lineRule="exact"/>
        <w:ind w:left="720" w:right="360" w:hanging="720"/>
        <w:jc w:val="both"/>
        <w:rPr>
          <w:b/>
          <w:sz w:val="24"/>
        </w:rPr>
      </w:pPr>
      <w:r w:rsidRPr="00277381">
        <w:rPr>
          <w:b/>
          <w:sz w:val="24"/>
        </w:rPr>
        <w:t>Q.</w:t>
      </w:r>
      <w:r w:rsidRPr="00277381">
        <w:rPr>
          <w:b/>
          <w:sz w:val="24"/>
        </w:rPr>
        <w:tab/>
        <w:t>What are you</w:t>
      </w:r>
      <w:r w:rsidR="00CD1D69">
        <w:rPr>
          <w:b/>
          <w:sz w:val="24"/>
        </w:rPr>
        <w:t>r</w:t>
      </w:r>
      <w:r w:rsidRPr="00277381">
        <w:rPr>
          <w:b/>
          <w:sz w:val="24"/>
        </w:rPr>
        <w:t xml:space="preserve"> recommendations in this proceeding?</w:t>
      </w:r>
    </w:p>
    <w:p w:rsidR="00106646" w:rsidRDefault="00CD2FBD" w:rsidP="00CD2FBD">
      <w:pPr>
        <w:spacing w:line="480" w:lineRule="exact"/>
        <w:ind w:left="720" w:right="360" w:hanging="720"/>
        <w:jc w:val="both"/>
        <w:rPr>
          <w:sz w:val="24"/>
        </w:rPr>
      </w:pPr>
      <w:r>
        <w:rPr>
          <w:sz w:val="24"/>
        </w:rPr>
        <w:t>A.</w:t>
      </w:r>
      <w:r>
        <w:rPr>
          <w:sz w:val="24"/>
        </w:rPr>
        <w:tab/>
      </w:r>
      <w:r w:rsidR="005D19C6">
        <w:rPr>
          <w:sz w:val="24"/>
        </w:rPr>
        <w:t xml:space="preserve">With regard to </w:t>
      </w:r>
      <w:r w:rsidR="005D19C6" w:rsidRPr="005D19C6">
        <w:rPr>
          <w:i/>
          <w:sz w:val="24"/>
        </w:rPr>
        <w:t>Preliminary Order</w:t>
      </w:r>
      <w:r w:rsidR="005D19C6">
        <w:rPr>
          <w:sz w:val="24"/>
        </w:rPr>
        <w:t xml:space="preserve"> question #9, </w:t>
      </w:r>
      <w:r>
        <w:rPr>
          <w:sz w:val="24"/>
        </w:rPr>
        <w:t>I recommend that</w:t>
      </w:r>
      <w:r w:rsidR="00A16DDF">
        <w:rPr>
          <w:sz w:val="24"/>
        </w:rPr>
        <w:t xml:space="preserve"> </w:t>
      </w:r>
      <w:r>
        <w:rPr>
          <w:sz w:val="24"/>
        </w:rPr>
        <w:t xml:space="preserve">the Commission </w:t>
      </w:r>
      <w:r w:rsidR="000F3041">
        <w:rPr>
          <w:sz w:val="24"/>
        </w:rPr>
        <w:t xml:space="preserve">order </w:t>
      </w:r>
      <w:r w:rsidR="00A16DDF">
        <w:rPr>
          <w:sz w:val="24"/>
        </w:rPr>
        <w:t xml:space="preserve">CEHE </w:t>
      </w:r>
      <w:r w:rsidR="004136CC">
        <w:rPr>
          <w:sz w:val="24"/>
        </w:rPr>
        <w:t>to</w:t>
      </w:r>
      <w:r w:rsidR="000F3041">
        <w:rPr>
          <w:sz w:val="24"/>
        </w:rPr>
        <w:t xml:space="preserve"> </w:t>
      </w:r>
      <w:r>
        <w:rPr>
          <w:sz w:val="24"/>
        </w:rPr>
        <w:t>implement</w:t>
      </w:r>
      <w:r w:rsidR="000F3041">
        <w:rPr>
          <w:sz w:val="24"/>
        </w:rPr>
        <w:t xml:space="preserve"> </w:t>
      </w:r>
      <w:r w:rsidR="000B6DCA">
        <w:rPr>
          <w:sz w:val="24"/>
        </w:rPr>
        <w:t>certain</w:t>
      </w:r>
      <w:r w:rsidR="00106646">
        <w:rPr>
          <w:sz w:val="24"/>
        </w:rPr>
        <w:t xml:space="preserve"> financial </w:t>
      </w:r>
      <w:r>
        <w:rPr>
          <w:sz w:val="24"/>
        </w:rPr>
        <w:t xml:space="preserve">policies and requirements </w:t>
      </w:r>
      <w:r w:rsidR="00A16DDF">
        <w:rPr>
          <w:sz w:val="24"/>
        </w:rPr>
        <w:t xml:space="preserve">that are designed to create an effective </w:t>
      </w:r>
      <w:r>
        <w:rPr>
          <w:sz w:val="24"/>
        </w:rPr>
        <w:t xml:space="preserve">degree of insulation </w:t>
      </w:r>
      <w:r w:rsidR="00106646">
        <w:rPr>
          <w:sz w:val="24"/>
        </w:rPr>
        <w:t xml:space="preserve">between </w:t>
      </w:r>
      <w:r w:rsidR="000F3041">
        <w:rPr>
          <w:sz w:val="24"/>
        </w:rPr>
        <w:t>CEHE</w:t>
      </w:r>
      <w:r w:rsidR="00106646">
        <w:rPr>
          <w:sz w:val="24"/>
        </w:rPr>
        <w:t xml:space="preserve"> and its parent </w:t>
      </w:r>
      <w:r w:rsidR="00A16DDF">
        <w:rPr>
          <w:sz w:val="24"/>
        </w:rPr>
        <w:t>company</w:t>
      </w:r>
      <w:r w:rsidR="004136CC">
        <w:rPr>
          <w:sz w:val="24"/>
        </w:rPr>
        <w:t xml:space="preserve"> </w:t>
      </w:r>
      <w:r>
        <w:rPr>
          <w:sz w:val="24"/>
        </w:rPr>
        <w:t>CenterPoint Energy</w:t>
      </w:r>
      <w:r w:rsidR="000B6DCA">
        <w:rPr>
          <w:sz w:val="24"/>
        </w:rPr>
        <w:t>, Inc.</w:t>
      </w:r>
      <w:r w:rsidR="004136CC">
        <w:rPr>
          <w:sz w:val="24"/>
        </w:rPr>
        <w:t xml:space="preserve"> (CenterPoint) </w:t>
      </w:r>
      <w:r>
        <w:rPr>
          <w:sz w:val="24"/>
        </w:rPr>
        <w:t xml:space="preserve">and </w:t>
      </w:r>
      <w:r w:rsidR="00106646">
        <w:rPr>
          <w:sz w:val="24"/>
        </w:rPr>
        <w:t>CenterPoint’s other</w:t>
      </w:r>
      <w:r>
        <w:rPr>
          <w:sz w:val="24"/>
        </w:rPr>
        <w:t xml:space="preserve"> affiliates.  </w:t>
      </w:r>
      <w:r w:rsidR="00106646">
        <w:rPr>
          <w:sz w:val="24"/>
        </w:rPr>
        <w:t xml:space="preserve">These measures will provide CEHE with </w:t>
      </w:r>
      <w:r w:rsidR="000F3041">
        <w:rPr>
          <w:sz w:val="24"/>
        </w:rPr>
        <w:t xml:space="preserve">meaningful </w:t>
      </w:r>
      <w:r w:rsidR="00106646">
        <w:rPr>
          <w:sz w:val="24"/>
        </w:rPr>
        <w:t xml:space="preserve">protection against possible situations of </w:t>
      </w:r>
      <w:r w:rsidR="00106646">
        <w:rPr>
          <w:sz w:val="24"/>
        </w:rPr>
        <w:lastRenderedPageBreak/>
        <w:t xml:space="preserve">financial distress by </w:t>
      </w:r>
      <w:r w:rsidR="00A16DDF">
        <w:rPr>
          <w:sz w:val="24"/>
        </w:rPr>
        <w:t>non-CEHE</w:t>
      </w:r>
      <w:r w:rsidR="00106646">
        <w:rPr>
          <w:sz w:val="24"/>
        </w:rPr>
        <w:t xml:space="preserve"> entities </w:t>
      </w:r>
      <w:r w:rsidR="00A16DDF">
        <w:rPr>
          <w:sz w:val="24"/>
        </w:rPr>
        <w:t>that are part of</w:t>
      </w:r>
      <w:r w:rsidR="00106646">
        <w:rPr>
          <w:sz w:val="24"/>
        </w:rPr>
        <w:t xml:space="preserve"> the CenterPoint organization.</w:t>
      </w:r>
      <w:r w:rsidR="005D19C6">
        <w:rPr>
          <w:sz w:val="24"/>
        </w:rPr>
        <w:t xml:space="preserve">  </w:t>
      </w:r>
      <w:r w:rsidR="000F3041">
        <w:rPr>
          <w:sz w:val="24"/>
        </w:rPr>
        <w:t xml:space="preserve">In </w:t>
      </w:r>
      <w:r w:rsidR="00E306D3">
        <w:rPr>
          <w:sz w:val="24"/>
        </w:rPr>
        <w:t xml:space="preserve">Sections III – V of </w:t>
      </w:r>
      <w:r w:rsidR="000F3041">
        <w:rPr>
          <w:sz w:val="24"/>
        </w:rPr>
        <w:t>my testimony</w:t>
      </w:r>
      <w:r w:rsidR="00E306D3">
        <w:rPr>
          <w:sz w:val="24"/>
        </w:rPr>
        <w:t>,</w:t>
      </w:r>
      <w:r w:rsidR="000F3041">
        <w:rPr>
          <w:sz w:val="24"/>
        </w:rPr>
        <w:t xml:space="preserve"> </w:t>
      </w:r>
      <w:r w:rsidR="00106646">
        <w:rPr>
          <w:sz w:val="24"/>
        </w:rPr>
        <w:t>I discuss these issue</w:t>
      </w:r>
      <w:r w:rsidR="000F3041">
        <w:rPr>
          <w:sz w:val="24"/>
        </w:rPr>
        <w:t>s in more detail</w:t>
      </w:r>
      <w:r w:rsidR="00E306D3">
        <w:rPr>
          <w:sz w:val="24"/>
        </w:rPr>
        <w:t>,</w:t>
      </w:r>
      <w:r w:rsidR="00106646">
        <w:rPr>
          <w:sz w:val="24"/>
        </w:rPr>
        <w:t xml:space="preserve"> and</w:t>
      </w:r>
      <w:r w:rsidR="000F3041">
        <w:rPr>
          <w:sz w:val="24"/>
        </w:rPr>
        <w:t xml:space="preserve"> </w:t>
      </w:r>
      <w:r w:rsidR="00E306D3">
        <w:rPr>
          <w:sz w:val="24"/>
        </w:rPr>
        <w:t xml:space="preserve">in Section VI, I </w:t>
      </w:r>
      <w:r w:rsidR="00106646">
        <w:rPr>
          <w:sz w:val="24"/>
        </w:rPr>
        <w:t>provide a listing of my recommended protection measures.</w:t>
      </w:r>
    </w:p>
    <w:p w:rsidR="00E306D3" w:rsidRDefault="00E306D3" w:rsidP="00CD2FBD">
      <w:pPr>
        <w:spacing w:line="480" w:lineRule="exact"/>
        <w:ind w:left="720" w:right="360" w:hanging="720"/>
        <w:jc w:val="both"/>
        <w:rPr>
          <w:sz w:val="24"/>
        </w:rPr>
      </w:pPr>
      <w:r>
        <w:rPr>
          <w:sz w:val="24"/>
        </w:rPr>
        <w:tab/>
      </w:r>
      <w:r>
        <w:rPr>
          <w:sz w:val="24"/>
        </w:rPr>
        <w:tab/>
        <w:t>With regard to the issue of excess accumulated deferred federal income tax amounts related to CEHE’s securitized cost recovery, I recommend that the Commission require CEHE to file an application for a separate proceeding in which the Commission and all parties have the opportunity to develop a more complete evidentiary record and the ability to conduct an appropriately thorough examination of all the relevant aspects of this issue.  In Section VII of my testimony, I discuss this issue in considerable detail.</w:t>
      </w:r>
    </w:p>
    <w:p w:rsidR="00CD2FBD" w:rsidRDefault="00CD2FBD" w:rsidP="009D5157">
      <w:pPr>
        <w:spacing w:line="480" w:lineRule="exact"/>
        <w:ind w:left="720" w:right="360" w:hanging="720"/>
        <w:jc w:val="both"/>
        <w:rPr>
          <w:sz w:val="24"/>
        </w:rPr>
      </w:pPr>
    </w:p>
    <w:p w:rsidR="00A541B3" w:rsidRPr="00B72E9C" w:rsidRDefault="00B72E9C" w:rsidP="00B41961">
      <w:pPr>
        <w:spacing w:line="480" w:lineRule="exact"/>
        <w:ind w:left="720" w:right="360" w:hanging="720"/>
        <w:jc w:val="both"/>
        <w:rPr>
          <w:b/>
          <w:sz w:val="24"/>
          <w:u w:val="single"/>
        </w:rPr>
      </w:pPr>
      <w:r>
        <w:rPr>
          <w:sz w:val="24"/>
        </w:rPr>
        <w:tab/>
      </w:r>
      <w:r w:rsidRPr="00B72E9C">
        <w:rPr>
          <w:b/>
          <w:sz w:val="24"/>
          <w:u w:val="single"/>
        </w:rPr>
        <w:t>II</w:t>
      </w:r>
      <w:r w:rsidR="00A16DDF">
        <w:rPr>
          <w:b/>
          <w:sz w:val="24"/>
          <w:u w:val="single"/>
        </w:rPr>
        <w:t>I</w:t>
      </w:r>
      <w:r w:rsidRPr="00B72E9C">
        <w:rPr>
          <w:b/>
          <w:sz w:val="24"/>
          <w:u w:val="single"/>
        </w:rPr>
        <w:t xml:space="preserve">.  </w:t>
      </w:r>
      <w:r w:rsidR="002A774A">
        <w:rPr>
          <w:b/>
          <w:sz w:val="24"/>
          <w:u w:val="single"/>
        </w:rPr>
        <w:tab/>
      </w:r>
      <w:r w:rsidRPr="00B72E9C">
        <w:rPr>
          <w:b/>
          <w:sz w:val="24"/>
          <w:u w:val="single"/>
        </w:rPr>
        <w:t>PROTECT</w:t>
      </w:r>
      <w:r w:rsidR="005B7962">
        <w:rPr>
          <w:b/>
          <w:sz w:val="24"/>
          <w:u w:val="single"/>
        </w:rPr>
        <w:t>IVE MEASURES—GENERAL DISCUSSION</w:t>
      </w:r>
    </w:p>
    <w:p w:rsidR="00B72E9C" w:rsidRPr="00A06DD6" w:rsidRDefault="00B72E9C" w:rsidP="009D5157">
      <w:pPr>
        <w:spacing w:line="480" w:lineRule="exact"/>
        <w:ind w:left="720" w:right="360" w:hanging="720"/>
        <w:jc w:val="both"/>
        <w:rPr>
          <w:b/>
          <w:sz w:val="24"/>
        </w:rPr>
      </w:pPr>
      <w:r w:rsidRPr="00A06DD6">
        <w:rPr>
          <w:b/>
          <w:sz w:val="24"/>
        </w:rPr>
        <w:t>Q.</w:t>
      </w:r>
      <w:r w:rsidRPr="00A06DD6">
        <w:rPr>
          <w:b/>
          <w:sz w:val="24"/>
        </w:rPr>
        <w:tab/>
        <w:t xml:space="preserve">In the context of the Commission’s regulation of the rates and operations of </w:t>
      </w:r>
      <w:r w:rsidR="00A16DDF">
        <w:rPr>
          <w:b/>
          <w:sz w:val="24"/>
        </w:rPr>
        <w:t>CEHE</w:t>
      </w:r>
      <w:r w:rsidRPr="00A06DD6">
        <w:rPr>
          <w:b/>
          <w:sz w:val="24"/>
        </w:rPr>
        <w:t xml:space="preserve">, </w:t>
      </w:r>
      <w:r w:rsidR="006B472B">
        <w:rPr>
          <w:b/>
          <w:sz w:val="24"/>
        </w:rPr>
        <w:t xml:space="preserve">are there reasons </w:t>
      </w:r>
      <w:r w:rsidR="00F64E16">
        <w:rPr>
          <w:b/>
          <w:sz w:val="24"/>
        </w:rPr>
        <w:t xml:space="preserve">that </w:t>
      </w:r>
      <w:r w:rsidR="006B472B">
        <w:rPr>
          <w:b/>
          <w:sz w:val="24"/>
        </w:rPr>
        <w:t xml:space="preserve">the </w:t>
      </w:r>
      <w:r w:rsidR="00EC6C95">
        <w:rPr>
          <w:b/>
          <w:sz w:val="24"/>
        </w:rPr>
        <w:t xml:space="preserve">Commission </w:t>
      </w:r>
      <w:r w:rsidR="006B472B">
        <w:rPr>
          <w:b/>
          <w:sz w:val="24"/>
        </w:rPr>
        <w:t xml:space="preserve">may wish </w:t>
      </w:r>
      <w:r w:rsidR="00EC6C95">
        <w:rPr>
          <w:b/>
          <w:sz w:val="24"/>
        </w:rPr>
        <w:t xml:space="preserve">to </w:t>
      </w:r>
      <w:r w:rsidR="006B472B">
        <w:rPr>
          <w:b/>
          <w:sz w:val="24"/>
        </w:rPr>
        <w:t xml:space="preserve">expressly </w:t>
      </w:r>
      <w:r w:rsidR="00D43CBA">
        <w:rPr>
          <w:b/>
          <w:sz w:val="24"/>
        </w:rPr>
        <w:t xml:space="preserve">and pre-emptively </w:t>
      </w:r>
      <w:r w:rsidR="006B472B">
        <w:rPr>
          <w:b/>
          <w:sz w:val="24"/>
        </w:rPr>
        <w:t>address</w:t>
      </w:r>
      <w:r w:rsidR="00EC6C95">
        <w:rPr>
          <w:b/>
          <w:sz w:val="24"/>
        </w:rPr>
        <w:t xml:space="preserve"> </w:t>
      </w:r>
      <w:r w:rsidR="006B472B">
        <w:rPr>
          <w:b/>
          <w:sz w:val="24"/>
        </w:rPr>
        <w:t xml:space="preserve">possible concerns about </w:t>
      </w:r>
      <w:r w:rsidR="00A06DD6" w:rsidRPr="00A06DD6">
        <w:rPr>
          <w:b/>
          <w:sz w:val="24"/>
        </w:rPr>
        <w:t xml:space="preserve">the impact on CEHE of </w:t>
      </w:r>
      <w:r w:rsidRPr="00A06DD6">
        <w:rPr>
          <w:b/>
          <w:sz w:val="24"/>
        </w:rPr>
        <w:t xml:space="preserve">the business </w:t>
      </w:r>
      <w:r w:rsidR="00A06DD6">
        <w:rPr>
          <w:b/>
          <w:sz w:val="24"/>
        </w:rPr>
        <w:t xml:space="preserve">activities </w:t>
      </w:r>
      <w:r w:rsidRPr="00A06DD6">
        <w:rPr>
          <w:b/>
          <w:sz w:val="24"/>
        </w:rPr>
        <w:t>of CenterPoint</w:t>
      </w:r>
      <w:r w:rsidR="00D850D4">
        <w:rPr>
          <w:b/>
          <w:sz w:val="24"/>
        </w:rPr>
        <w:t xml:space="preserve"> and </w:t>
      </w:r>
      <w:r w:rsidR="00A16DDF">
        <w:rPr>
          <w:b/>
          <w:sz w:val="24"/>
        </w:rPr>
        <w:t xml:space="preserve">its non-CEHE </w:t>
      </w:r>
      <w:r w:rsidR="00D850D4">
        <w:rPr>
          <w:b/>
          <w:sz w:val="24"/>
        </w:rPr>
        <w:t>subsidiaries</w:t>
      </w:r>
      <w:r w:rsidRPr="00A06DD6">
        <w:rPr>
          <w:b/>
          <w:sz w:val="24"/>
        </w:rPr>
        <w:t>?</w:t>
      </w:r>
    </w:p>
    <w:p w:rsidR="007B30A7" w:rsidRDefault="00A06DD6" w:rsidP="009D5157">
      <w:pPr>
        <w:spacing w:line="480" w:lineRule="exact"/>
        <w:ind w:left="720" w:right="360" w:hanging="720"/>
        <w:jc w:val="both"/>
      </w:pPr>
      <w:r>
        <w:rPr>
          <w:sz w:val="24"/>
        </w:rPr>
        <w:t>A.</w:t>
      </w:r>
      <w:r>
        <w:rPr>
          <w:sz w:val="24"/>
        </w:rPr>
        <w:tab/>
      </w:r>
      <w:r w:rsidR="00575F93">
        <w:rPr>
          <w:sz w:val="24"/>
        </w:rPr>
        <w:t>In my view,</w:t>
      </w:r>
      <w:r w:rsidR="00FB7076">
        <w:rPr>
          <w:sz w:val="24"/>
        </w:rPr>
        <w:t xml:space="preserve"> the answer is yes.  </w:t>
      </w:r>
      <w:r>
        <w:rPr>
          <w:sz w:val="24"/>
        </w:rPr>
        <w:t>CenterPoint</w:t>
      </w:r>
      <w:r w:rsidR="0049162D">
        <w:rPr>
          <w:sz w:val="24"/>
        </w:rPr>
        <w:t>, with</w:t>
      </w:r>
      <w:r>
        <w:rPr>
          <w:sz w:val="24"/>
        </w:rPr>
        <w:t xml:space="preserve"> </w:t>
      </w:r>
      <w:r w:rsidR="0049162D">
        <w:rPr>
          <w:sz w:val="24"/>
        </w:rPr>
        <w:t xml:space="preserve">$29 billion of assets, is a </w:t>
      </w:r>
      <w:r w:rsidR="00EC6C95">
        <w:rPr>
          <w:sz w:val="24"/>
        </w:rPr>
        <w:t xml:space="preserve">large </w:t>
      </w:r>
      <w:r w:rsidR="0049162D">
        <w:rPr>
          <w:sz w:val="24"/>
        </w:rPr>
        <w:t xml:space="preserve">corporation that </w:t>
      </w:r>
      <w:r>
        <w:rPr>
          <w:sz w:val="24"/>
        </w:rPr>
        <w:t xml:space="preserve">includes not only CEHE as a subsidiary, but also </w:t>
      </w:r>
      <w:r w:rsidR="007B30A7">
        <w:rPr>
          <w:sz w:val="24"/>
        </w:rPr>
        <w:t>a number of other entities</w:t>
      </w:r>
      <w:r w:rsidR="005E16DE">
        <w:rPr>
          <w:sz w:val="24"/>
        </w:rPr>
        <w:t>,</w:t>
      </w:r>
      <w:r w:rsidR="007B30A7">
        <w:rPr>
          <w:sz w:val="24"/>
        </w:rPr>
        <w:t xml:space="preserve"> such as:</w:t>
      </w:r>
      <w:r w:rsidR="00EC6C95">
        <w:rPr>
          <w:rStyle w:val="FootnoteReference"/>
        </w:rPr>
        <w:footnoteReference w:id="1"/>
      </w:r>
      <w:r w:rsidR="00D850D4" w:rsidRPr="00D850D4">
        <w:rPr>
          <w:rStyle w:val="FootnoteReference"/>
        </w:rPr>
        <w:t xml:space="preserve"> </w:t>
      </w:r>
    </w:p>
    <w:p w:rsidR="00A16DDF" w:rsidRDefault="00A16DDF" w:rsidP="00A16DDF">
      <w:pPr>
        <w:pStyle w:val="ListParagraph"/>
        <w:ind w:left="1440" w:right="720"/>
        <w:jc w:val="both"/>
      </w:pPr>
    </w:p>
    <w:p w:rsidR="007B30A7" w:rsidRDefault="00A06DD6" w:rsidP="00575F93">
      <w:pPr>
        <w:pStyle w:val="ListParagraph"/>
        <w:numPr>
          <w:ilvl w:val="0"/>
          <w:numId w:val="29"/>
        </w:numPr>
        <w:ind w:right="720"/>
        <w:jc w:val="both"/>
      </w:pPr>
      <w:r w:rsidRPr="00BF75BC">
        <w:t xml:space="preserve">CenterPoint Energy </w:t>
      </w:r>
      <w:r w:rsidR="003A6EEA" w:rsidRPr="00BF75BC">
        <w:t>Resources</w:t>
      </w:r>
      <w:r w:rsidRPr="00BF75BC">
        <w:t xml:space="preserve"> (CER</w:t>
      </w:r>
      <w:r w:rsidR="003A6EEA" w:rsidRPr="00BF75BC">
        <w:t>C</w:t>
      </w:r>
      <w:r w:rsidRPr="00BF75BC">
        <w:t xml:space="preserve">), </w:t>
      </w:r>
      <w:r w:rsidR="007B30A7" w:rsidRPr="00BF75BC">
        <w:t>a</w:t>
      </w:r>
      <w:r w:rsidR="00BF75BC" w:rsidRPr="00BF75BC">
        <w:t xml:space="preserve"> multi-state</w:t>
      </w:r>
      <w:r w:rsidR="007B30A7" w:rsidRPr="00BF75BC">
        <w:t xml:space="preserve"> gas distribution company; </w:t>
      </w:r>
    </w:p>
    <w:p w:rsidR="00575F93" w:rsidRPr="00BF75BC" w:rsidRDefault="00575F93" w:rsidP="00575F93">
      <w:pPr>
        <w:pStyle w:val="ListParagraph"/>
        <w:ind w:left="1440" w:right="720"/>
        <w:jc w:val="both"/>
      </w:pPr>
    </w:p>
    <w:p w:rsidR="007B30A7" w:rsidRDefault="007B30A7" w:rsidP="00575F93">
      <w:pPr>
        <w:pStyle w:val="ListParagraph"/>
        <w:numPr>
          <w:ilvl w:val="0"/>
          <w:numId w:val="29"/>
        </w:numPr>
        <w:ind w:right="720"/>
        <w:jc w:val="both"/>
      </w:pPr>
      <w:r w:rsidRPr="00BF75BC">
        <w:t xml:space="preserve">CenterPoint </w:t>
      </w:r>
      <w:r w:rsidR="00BF75BC" w:rsidRPr="00BF75BC">
        <w:t>E</w:t>
      </w:r>
      <w:r w:rsidRPr="00BF75BC">
        <w:t>nergy Services (CES), a natu</w:t>
      </w:r>
      <w:r w:rsidR="00BF75BC" w:rsidRPr="00BF75BC">
        <w:t>r</w:t>
      </w:r>
      <w:r w:rsidRPr="00BF75BC">
        <w:t>al gas marketing business that sell</w:t>
      </w:r>
      <w:r w:rsidR="00E85A0A">
        <w:t>s</w:t>
      </w:r>
      <w:r w:rsidRPr="00BF75BC">
        <w:t xml:space="preserve"> non-rate-regulated natural gas and related services in 33 states (as of September 2018)</w:t>
      </w:r>
      <w:r w:rsidR="00253C38">
        <w:t>;</w:t>
      </w:r>
    </w:p>
    <w:p w:rsidR="00575F93" w:rsidRDefault="00575F93" w:rsidP="00575F93">
      <w:pPr>
        <w:pStyle w:val="ListParagraph"/>
      </w:pPr>
    </w:p>
    <w:p w:rsidR="00575F93" w:rsidRDefault="00E4332C" w:rsidP="00CE21AC">
      <w:pPr>
        <w:pStyle w:val="ListParagraph"/>
        <w:numPr>
          <w:ilvl w:val="0"/>
          <w:numId w:val="29"/>
        </w:numPr>
        <w:ind w:right="720"/>
        <w:jc w:val="both"/>
      </w:pPr>
      <w:r>
        <w:lastRenderedPageBreak/>
        <w:t xml:space="preserve">Enable Midstream Partners, LP, a publicly traded master limited partnership that owns, operates, and develops strategically located natural gas and crude oil infrastructure asset; and </w:t>
      </w:r>
    </w:p>
    <w:p w:rsidR="00E4332C" w:rsidRDefault="00E4332C" w:rsidP="00E4332C">
      <w:pPr>
        <w:pStyle w:val="ListParagraph"/>
        <w:ind w:left="1440" w:right="720"/>
        <w:jc w:val="both"/>
      </w:pPr>
    </w:p>
    <w:p w:rsidR="0049162D" w:rsidRPr="00BF75BC" w:rsidRDefault="00A06DD6" w:rsidP="00575F93">
      <w:pPr>
        <w:pStyle w:val="ListParagraph"/>
        <w:numPr>
          <w:ilvl w:val="0"/>
          <w:numId w:val="29"/>
        </w:numPr>
        <w:ind w:right="720"/>
        <w:jc w:val="both"/>
      </w:pPr>
      <w:r w:rsidRPr="00BF75BC">
        <w:t>Vectren</w:t>
      </w:r>
      <w:r w:rsidR="003A6EEA" w:rsidRPr="00BF75BC">
        <w:t xml:space="preserve"> Corporation (Vectren)</w:t>
      </w:r>
      <w:r w:rsidRPr="00BF75BC">
        <w:t xml:space="preserve">, </w:t>
      </w:r>
      <w:r w:rsidR="00637F87">
        <w:t>which</w:t>
      </w:r>
      <w:r w:rsidR="00637F87" w:rsidRPr="00BF75BC">
        <w:t xml:space="preserve"> CenterPoint acquired in February 2019</w:t>
      </w:r>
      <w:r w:rsidR="00637F87">
        <w:t xml:space="preserve"> and which includes natural gas operations and </w:t>
      </w:r>
      <w:r w:rsidR="003A6EEA" w:rsidRPr="00BF75BC">
        <w:t xml:space="preserve">vertically integrated electric utility </w:t>
      </w:r>
      <w:r w:rsidR="00637F87">
        <w:t xml:space="preserve">operations </w:t>
      </w:r>
      <w:r w:rsidR="0049162D" w:rsidRPr="00BF75BC">
        <w:t>in Indiana and Ohio</w:t>
      </w:r>
      <w:r w:rsidRPr="00BF75BC">
        <w:t xml:space="preserve">.  </w:t>
      </w:r>
    </w:p>
    <w:p w:rsidR="0049162D" w:rsidRDefault="0049162D" w:rsidP="00575F93">
      <w:pPr>
        <w:ind w:left="720" w:right="360"/>
        <w:jc w:val="both"/>
        <w:rPr>
          <w:sz w:val="24"/>
        </w:rPr>
      </w:pPr>
    </w:p>
    <w:p w:rsidR="00A541B3" w:rsidRDefault="00EC6C95" w:rsidP="007B30A7">
      <w:pPr>
        <w:spacing w:line="480" w:lineRule="exact"/>
        <w:ind w:left="720" w:right="360"/>
        <w:jc w:val="both"/>
        <w:rPr>
          <w:sz w:val="24"/>
        </w:rPr>
      </w:pPr>
      <w:r>
        <w:rPr>
          <w:sz w:val="24"/>
        </w:rPr>
        <w:t>Given that e</w:t>
      </w:r>
      <w:r w:rsidR="00A06DD6">
        <w:rPr>
          <w:sz w:val="24"/>
        </w:rPr>
        <w:t xml:space="preserve">ach of these subsidiaries </w:t>
      </w:r>
      <w:r w:rsidR="00D850D4">
        <w:rPr>
          <w:sz w:val="24"/>
        </w:rPr>
        <w:t>is a</w:t>
      </w:r>
      <w:r w:rsidR="00A06DD6">
        <w:rPr>
          <w:sz w:val="24"/>
        </w:rPr>
        <w:t xml:space="preserve"> part of the ov</w:t>
      </w:r>
      <w:r w:rsidR="00FB7076">
        <w:rPr>
          <w:sz w:val="24"/>
        </w:rPr>
        <w:t>erall CenterPoint organization</w:t>
      </w:r>
      <w:r w:rsidR="00D850D4">
        <w:rPr>
          <w:sz w:val="24"/>
        </w:rPr>
        <w:t xml:space="preserve">, </w:t>
      </w:r>
      <w:r w:rsidR="00527953">
        <w:rPr>
          <w:sz w:val="24"/>
        </w:rPr>
        <w:t>to the</w:t>
      </w:r>
      <w:r w:rsidR="00A06DD6">
        <w:rPr>
          <w:sz w:val="24"/>
        </w:rPr>
        <w:t xml:space="preserve"> degree </w:t>
      </w:r>
      <w:r w:rsidR="00527953">
        <w:rPr>
          <w:sz w:val="24"/>
        </w:rPr>
        <w:t>that</w:t>
      </w:r>
      <w:r w:rsidR="00A06DD6">
        <w:rPr>
          <w:sz w:val="24"/>
        </w:rPr>
        <w:t xml:space="preserve"> </w:t>
      </w:r>
      <w:r w:rsidR="00527953">
        <w:rPr>
          <w:sz w:val="24"/>
        </w:rPr>
        <w:t xml:space="preserve">there </w:t>
      </w:r>
      <w:r w:rsidR="00F1553A">
        <w:rPr>
          <w:sz w:val="24"/>
        </w:rPr>
        <w:t>are</w:t>
      </w:r>
      <w:r w:rsidR="00527953">
        <w:rPr>
          <w:sz w:val="24"/>
        </w:rPr>
        <w:t xml:space="preserve"> </w:t>
      </w:r>
      <w:r w:rsidR="005D19C6">
        <w:rPr>
          <w:sz w:val="24"/>
        </w:rPr>
        <w:t>aspects of operational and</w:t>
      </w:r>
      <w:r w:rsidR="00F1553A">
        <w:rPr>
          <w:sz w:val="24"/>
        </w:rPr>
        <w:t xml:space="preserve"> financial </w:t>
      </w:r>
      <w:r w:rsidR="005B7962">
        <w:rPr>
          <w:sz w:val="24"/>
        </w:rPr>
        <w:t xml:space="preserve">intermingling or </w:t>
      </w:r>
      <w:r w:rsidR="00A06DD6">
        <w:rPr>
          <w:sz w:val="24"/>
        </w:rPr>
        <w:t xml:space="preserve">interdependency among the </w:t>
      </w:r>
      <w:r w:rsidR="006B472B">
        <w:rPr>
          <w:sz w:val="24"/>
        </w:rPr>
        <w:t xml:space="preserve">various </w:t>
      </w:r>
      <w:r w:rsidR="00A06DD6">
        <w:rPr>
          <w:sz w:val="24"/>
        </w:rPr>
        <w:t>entities</w:t>
      </w:r>
      <w:r w:rsidR="00F1553A">
        <w:rPr>
          <w:sz w:val="24"/>
        </w:rPr>
        <w:t xml:space="preserve">, </w:t>
      </w:r>
      <w:r w:rsidR="00DB4D84">
        <w:rPr>
          <w:sz w:val="24"/>
        </w:rPr>
        <w:t xml:space="preserve">the effects of financial instability or weakness in one </w:t>
      </w:r>
      <w:r w:rsidR="006B472B">
        <w:rPr>
          <w:sz w:val="24"/>
        </w:rPr>
        <w:t>entity</w:t>
      </w:r>
      <w:r w:rsidR="00FB7076">
        <w:rPr>
          <w:sz w:val="24"/>
        </w:rPr>
        <w:t xml:space="preserve"> </w:t>
      </w:r>
      <w:r w:rsidR="00F1553A">
        <w:rPr>
          <w:sz w:val="24"/>
        </w:rPr>
        <w:t>could</w:t>
      </w:r>
      <w:r w:rsidR="00DB4D84">
        <w:rPr>
          <w:sz w:val="24"/>
        </w:rPr>
        <w:t xml:space="preserve"> </w:t>
      </w:r>
      <w:r w:rsidR="00F64E16">
        <w:rPr>
          <w:sz w:val="24"/>
        </w:rPr>
        <w:t>affect</w:t>
      </w:r>
      <w:r w:rsidR="00DB4D84">
        <w:rPr>
          <w:sz w:val="24"/>
        </w:rPr>
        <w:t xml:space="preserve"> not only CenterPoint </w:t>
      </w:r>
      <w:r w:rsidR="00603833">
        <w:rPr>
          <w:sz w:val="24"/>
        </w:rPr>
        <w:t xml:space="preserve">as </w:t>
      </w:r>
      <w:r w:rsidR="00DB4D84">
        <w:rPr>
          <w:sz w:val="24"/>
        </w:rPr>
        <w:t>the parent</w:t>
      </w:r>
      <w:r w:rsidR="00603833">
        <w:rPr>
          <w:sz w:val="24"/>
        </w:rPr>
        <w:t xml:space="preserve"> company</w:t>
      </w:r>
      <w:r w:rsidR="00F1553A">
        <w:rPr>
          <w:sz w:val="24"/>
        </w:rPr>
        <w:t>,</w:t>
      </w:r>
      <w:r w:rsidR="00DB4D84">
        <w:rPr>
          <w:sz w:val="24"/>
        </w:rPr>
        <w:t xml:space="preserve"> but other subsidiaries as well.  In an extreme case, an event that causes severe financial distress </w:t>
      </w:r>
      <w:r w:rsidR="00D850D4">
        <w:rPr>
          <w:sz w:val="24"/>
        </w:rPr>
        <w:t xml:space="preserve">for CenterPoint </w:t>
      </w:r>
      <w:r w:rsidR="00DB4D84">
        <w:rPr>
          <w:sz w:val="24"/>
        </w:rPr>
        <w:t xml:space="preserve">could lead to </w:t>
      </w:r>
      <w:r w:rsidR="00D850D4">
        <w:rPr>
          <w:sz w:val="24"/>
        </w:rPr>
        <w:t xml:space="preserve">its </w:t>
      </w:r>
      <w:r w:rsidR="00DB4D84">
        <w:rPr>
          <w:sz w:val="24"/>
        </w:rPr>
        <w:t>bankruptcy—</w:t>
      </w:r>
      <w:r w:rsidR="00FB7076">
        <w:rPr>
          <w:sz w:val="24"/>
        </w:rPr>
        <w:t xml:space="preserve">a </w:t>
      </w:r>
      <w:r w:rsidR="00DC5460">
        <w:rPr>
          <w:sz w:val="24"/>
        </w:rPr>
        <w:t>situation</w:t>
      </w:r>
      <w:r w:rsidR="00FB7076">
        <w:rPr>
          <w:sz w:val="24"/>
        </w:rPr>
        <w:t xml:space="preserve">, that, </w:t>
      </w:r>
      <w:r w:rsidR="00DB4D84">
        <w:rPr>
          <w:sz w:val="24"/>
        </w:rPr>
        <w:t xml:space="preserve">absent </w:t>
      </w:r>
      <w:r w:rsidR="00FB7076">
        <w:rPr>
          <w:sz w:val="24"/>
        </w:rPr>
        <w:t xml:space="preserve">the presence of </w:t>
      </w:r>
      <w:r w:rsidR="00DB4D84">
        <w:rPr>
          <w:sz w:val="24"/>
        </w:rPr>
        <w:t xml:space="preserve">protective measures, </w:t>
      </w:r>
      <w:r w:rsidR="00FB7076">
        <w:rPr>
          <w:sz w:val="24"/>
        </w:rPr>
        <w:t>c</w:t>
      </w:r>
      <w:r w:rsidR="00DB4D84">
        <w:rPr>
          <w:sz w:val="24"/>
        </w:rPr>
        <w:t xml:space="preserve">ould </w:t>
      </w:r>
      <w:r w:rsidR="00FB7076">
        <w:rPr>
          <w:sz w:val="24"/>
        </w:rPr>
        <w:t xml:space="preserve">impact subsidiaries like CEHE dramatically and drag them </w:t>
      </w:r>
      <w:r w:rsidR="00D850D4">
        <w:rPr>
          <w:sz w:val="24"/>
        </w:rPr>
        <w:t xml:space="preserve">along </w:t>
      </w:r>
      <w:r w:rsidR="00FB7076">
        <w:rPr>
          <w:sz w:val="24"/>
        </w:rPr>
        <w:t>into the bankruptcy process</w:t>
      </w:r>
      <w:r w:rsidR="00DB4D84">
        <w:rPr>
          <w:sz w:val="24"/>
        </w:rPr>
        <w:t xml:space="preserve">.  </w:t>
      </w:r>
    </w:p>
    <w:p w:rsidR="00F1553A" w:rsidRDefault="00F1553A" w:rsidP="000D58BD">
      <w:pPr>
        <w:ind w:left="720" w:right="360" w:hanging="720"/>
        <w:jc w:val="both"/>
        <w:rPr>
          <w:sz w:val="24"/>
        </w:rPr>
      </w:pPr>
    </w:p>
    <w:p w:rsidR="00DB4D84" w:rsidRDefault="00DB4D84" w:rsidP="009D5157">
      <w:pPr>
        <w:spacing w:line="480" w:lineRule="exact"/>
        <w:ind w:left="720" w:right="360" w:hanging="720"/>
        <w:jc w:val="both"/>
        <w:rPr>
          <w:b/>
          <w:sz w:val="24"/>
        </w:rPr>
      </w:pPr>
      <w:r>
        <w:rPr>
          <w:b/>
          <w:sz w:val="24"/>
        </w:rPr>
        <w:t>Q.</w:t>
      </w:r>
      <w:r>
        <w:rPr>
          <w:b/>
          <w:sz w:val="24"/>
        </w:rPr>
        <w:tab/>
      </w:r>
      <w:r w:rsidR="00F64E16">
        <w:rPr>
          <w:b/>
          <w:sz w:val="24"/>
        </w:rPr>
        <w:t>Given the above discussion, f</w:t>
      </w:r>
      <w:r w:rsidR="005B7962">
        <w:rPr>
          <w:b/>
          <w:sz w:val="24"/>
        </w:rPr>
        <w:t xml:space="preserve">or a </w:t>
      </w:r>
      <w:r w:rsidR="00D43CBA">
        <w:rPr>
          <w:b/>
          <w:sz w:val="24"/>
        </w:rPr>
        <w:t xml:space="preserve">regulated </w:t>
      </w:r>
      <w:r w:rsidR="005B7962">
        <w:rPr>
          <w:b/>
          <w:sz w:val="24"/>
        </w:rPr>
        <w:t>company such as CEHE, w</w:t>
      </w:r>
      <w:r>
        <w:rPr>
          <w:b/>
          <w:sz w:val="24"/>
        </w:rPr>
        <w:t xml:space="preserve">hat </w:t>
      </w:r>
      <w:r w:rsidR="005409F4">
        <w:rPr>
          <w:b/>
          <w:sz w:val="24"/>
        </w:rPr>
        <w:t xml:space="preserve">do you believe </w:t>
      </w:r>
      <w:r>
        <w:rPr>
          <w:b/>
          <w:sz w:val="24"/>
        </w:rPr>
        <w:t xml:space="preserve">is the </w:t>
      </w:r>
      <w:r w:rsidR="005B7962">
        <w:rPr>
          <w:b/>
          <w:sz w:val="24"/>
        </w:rPr>
        <w:t>principal</w:t>
      </w:r>
      <w:r>
        <w:rPr>
          <w:b/>
          <w:sz w:val="24"/>
        </w:rPr>
        <w:t xml:space="preserve"> </w:t>
      </w:r>
      <w:r w:rsidR="00D850D4">
        <w:rPr>
          <w:b/>
          <w:sz w:val="24"/>
        </w:rPr>
        <w:t>purpose</w:t>
      </w:r>
      <w:r>
        <w:rPr>
          <w:b/>
          <w:sz w:val="24"/>
        </w:rPr>
        <w:t xml:space="preserve"> of </w:t>
      </w:r>
      <w:r w:rsidR="005B7962">
        <w:rPr>
          <w:b/>
          <w:sz w:val="24"/>
        </w:rPr>
        <w:t>establishing</w:t>
      </w:r>
      <w:r>
        <w:rPr>
          <w:b/>
          <w:sz w:val="24"/>
        </w:rPr>
        <w:t xml:space="preserve"> </w:t>
      </w:r>
      <w:r w:rsidR="005B7962">
        <w:rPr>
          <w:b/>
          <w:sz w:val="24"/>
        </w:rPr>
        <w:t xml:space="preserve">regulatory requirements that implement certain </w:t>
      </w:r>
      <w:r>
        <w:rPr>
          <w:b/>
          <w:sz w:val="24"/>
        </w:rPr>
        <w:t>financial protections?</w:t>
      </w:r>
    </w:p>
    <w:p w:rsidR="00F1553A" w:rsidRDefault="00A10B11" w:rsidP="005B7962">
      <w:pPr>
        <w:spacing w:line="480" w:lineRule="exact"/>
        <w:ind w:left="720" w:right="360" w:hanging="720"/>
        <w:jc w:val="both"/>
        <w:rPr>
          <w:sz w:val="24"/>
        </w:rPr>
      </w:pPr>
      <w:r>
        <w:rPr>
          <w:sz w:val="24"/>
        </w:rPr>
        <w:t>A.</w:t>
      </w:r>
      <w:r>
        <w:rPr>
          <w:sz w:val="24"/>
        </w:rPr>
        <w:tab/>
        <w:t xml:space="preserve">From </w:t>
      </w:r>
      <w:r w:rsidR="004136CC">
        <w:rPr>
          <w:sz w:val="24"/>
        </w:rPr>
        <w:t>a regulatory</w:t>
      </w:r>
      <w:r>
        <w:rPr>
          <w:sz w:val="24"/>
        </w:rPr>
        <w:t xml:space="preserve"> perspective</w:t>
      </w:r>
      <w:r w:rsidR="00DB4D84">
        <w:rPr>
          <w:sz w:val="24"/>
        </w:rPr>
        <w:t xml:space="preserve">, the </w:t>
      </w:r>
      <w:r w:rsidR="00DC5460">
        <w:rPr>
          <w:sz w:val="24"/>
        </w:rPr>
        <w:t xml:space="preserve">most </w:t>
      </w:r>
      <w:r w:rsidR="00DB4D84">
        <w:rPr>
          <w:sz w:val="24"/>
        </w:rPr>
        <w:t xml:space="preserve">fundamental reason </w:t>
      </w:r>
      <w:r w:rsidR="00DC5460">
        <w:rPr>
          <w:sz w:val="24"/>
        </w:rPr>
        <w:t xml:space="preserve">for the implementation of </w:t>
      </w:r>
      <w:r w:rsidR="005B7962">
        <w:rPr>
          <w:sz w:val="24"/>
        </w:rPr>
        <w:t>certain types of</w:t>
      </w:r>
      <w:r w:rsidR="00DB4D84">
        <w:rPr>
          <w:sz w:val="24"/>
        </w:rPr>
        <w:t xml:space="preserve"> </w:t>
      </w:r>
      <w:r w:rsidR="00014D3D">
        <w:rPr>
          <w:sz w:val="24"/>
        </w:rPr>
        <w:t xml:space="preserve">financial protections is to </w:t>
      </w:r>
      <w:r w:rsidR="005409F4">
        <w:rPr>
          <w:sz w:val="24"/>
        </w:rPr>
        <w:t xml:space="preserve">provide </w:t>
      </w:r>
      <w:r w:rsidR="00F1553A">
        <w:rPr>
          <w:sz w:val="24"/>
        </w:rPr>
        <w:t xml:space="preserve">for </w:t>
      </w:r>
      <w:r w:rsidR="00014D3D">
        <w:rPr>
          <w:sz w:val="24"/>
        </w:rPr>
        <w:t xml:space="preserve">a regulated utility </w:t>
      </w:r>
      <w:r w:rsidR="00F1553A">
        <w:rPr>
          <w:sz w:val="24"/>
        </w:rPr>
        <w:t>a set of safeguards against</w:t>
      </w:r>
      <w:r w:rsidR="00014D3D">
        <w:rPr>
          <w:sz w:val="24"/>
        </w:rPr>
        <w:t xml:space="preserve"> </w:t>
      </w:r>
      <w:r w:rsidR="005B7962">
        <w:rPr>
          <w:sz w:val="24"/>
        </w:rPr>
        <w:t xml:space="preserve">a parent company’s financial distress and </w:t>
      </w:r>
      <w:r w:rsidR="005409F4">
        <w:rPr>
          <w:sz w:val="24"/>
        </w:rPr>
        <w:t>potential</w:t>
      </w:r>
      <w:r w:rsidR="00014D3D">
        <w:rPr>
          <w:sz w:val="24"/>
        </w:rPr>
        <w:t xml:space="preserve"> </w:t>
      </w:r>
      <w:r w:rsidR="005B7962">
        <w:rPr>
          <w:sz w:val="24"/>
        </w:rPr>
        <w:t xml:space="preserve">contagiousness and, in an extreme </w:t>
      </w:r>
      <w:r w:rsidR="00296451">
        <w:rPr>
          <w:sz w:val="24"/>
        </w:rPr>
        <w:t>situation</w:t>
      </w:r>
      <w:r w:rsidR="005B7962">
        <w:rPr>
          <w:sz w:val="24"/>
        </w:rPr>
        <w:t xml:space="preserve">, the </w:t>
      </w:r>
      <w:r w:rsidR="00014D3D">
        <w:rPr>
          <w:sz w:val="24"/>
        </w:rPr>
        <w:t>parent</w:t>
      </w:r>
      <w:r w:rsidR="005B7962">
        <w:rPr>
          <w:sz w:val="24"/>
        </w:rPr>
        <w:t>’s bankruptcy</w:t>
      </w:r>
      <w:r w:rsidR="00014D3D">
        <w:rPr>
          <w:sz w:val="24"/>
        </w:rPr>
        <w:t xml:space="preserve">.  </w:t>
      </w:r>
      <w:r w:rsidR="00B12727">
        <w:rPr>
          <w:sz w:val="24"/>
        </w:rPr>
        <w:t xml:space="preserve">Ultimately, I would characterize the goal of a regulatory authority’s implementation of </w:t>
      </w:r>
      <w:r w:rsidR="00D43CBA">
        <w:rPr>
          <w:sz w:val="24"/>
        </w:rPr>
        <w:t>protective</w:t>
      </w:r>
      <w:r w:rsidR="00B12727">
        <w:rPr>
          <w:sz w:val="24"/>
        </w:rPr>
        <w:t xml:space="preserve"> policies and standards as helping to ensure that a regulated utility maintains its ability to </w:t>
      </w:r>
      <w:r w:rsidR="00B35D3E">
        <w:rPr>
          <w:sz w:val="24"/>
        </w:rPr>
        <w:t xml:space="preserve">fulfill its core customer-oriented purpose:  to </w:t>
      </w:r>
      <w:r w:rsidR="00B12727">
        <w:rPr>
          <w:sz w:val="24"/>
        </w:rPr>
        <w:t xml:space="preserve">provide reliable service at reasonable rates.  </w:t>
      </w:r>
    </w:p>
    <w:p w:rsidR="00F1553A" w:rsidRDefault="00F1553A" w:rsidP="000D58BD">
      <w:pPr>
        <w:ind w:left="720" w:right="360" w:hanging="720"/>
        <w:jc w:val="both"/>
        <w:rPr>
          <w:sz w:val="24"/>
        </w:rPr>
      </w:pPr>
    </w:p>
    <w:p w:rsidR="008A3AB8" w:rsidRDefault="008A3AB8" w:rsidP="009D5157">
      <w:pPr>
        <w:spacing w:line="480" w:lineRule="exact"/>
        <w:ind w:left="720" w:right="360" w:hanging="720"/>
        <w:jc w:val="both"/>
        <w:rPr>
          <w:b/>
          <w:sz w:val="24"/>
        </w:rPr>
      </w:pPr>
    </w:p>
    <w:p w:rsidR="008A3AB8" w:rsidRDefault="008A3AB8" w:rsidP="009D5157">
      <w:pPr>
        <w:spacing w:line="480" w:lineRule="exact"/>
        <w:ind w:left="720" w:right="360" w:hanging="720"/>
        <w:jc w:val="both"/>
        <w:rPr>
          <w:b/>
          <w:sz w:val="24"/>
        </w:rPr>
      </w:pPr>
    </w:p>
    <w:p w:rsidR="00F1553A" w:rsidRPr="00F1553A" w:rsidRDefault="00F1553A" w:rsidP="009D5157">
      <w:pPr>
        <w:spacing w:line="480" w:lineRule="exact"/>
        <w:ind w:left="720" w:right="360" w:hanging="720"/>
        <w:jc w:val="both"/>
        <w:rPr>
          <w:b/>
          <w:sz w:val="24"/>
        </w:rPr>
      </w:pPr>
      <w:r w:rsidRPr="00F1553A">
        <w:rPr>
          <w:b/>
          <w:sz w:val="24"/>
        </w:rPr>
        <w:lastRenderedPageBreak/>
        <w:t>Q.</w:t>
      </w:r>
      <w:r w:rsidRPr="00F1553A">
        <w:rPr>
          <w:b/>
          <w:sz w:val="24"/>
        </w:rPr>
        <w:tab/>
      </w:r>
      <w:r w:rsidR="00D43CBA">
        <w:rPr>
          <w:b/>
          <w:sz w:val="24"/>
        </w:rPr>
        <w:t xml:space="preserve">Is there a generic phrase that is commonly used to describe </w:t>
      </w:r>
      <w:r w:rsidR="005E16DE">
        <w:rPr>
          <w:b/>
          <w:sz w:val="24"/>
        </w:rPr>
        <w:t>different</w:t>
      </w:r>
      <w:r w:rsidR="00D43CBA">
        <w:rPr>
          <w:b/>
          <w:sz w:val="24"/>
        </w:rPr>
        <w:t xml:space="preserve"> types of mechanisms that provide for some degree of separation between regulated utilities and their parents and affiliates?  </w:t>
      </w:r>
    </w:p>
    <w:p w:rsidR="00DB4D84" w:rsidRDefault="00F1553A" w:rsidP="00A10B11">
      <w:pPr>
        <w:spacing w:line="480" w:lineRule="exact"/>
        <w:ind w:left="720" w:right="360" w:hanging="720"/>
        <w:jc w:val="both"/>
        <w:rPr>
          <w:sz w:val="24"/>
        </w:rPr>
      </w:pPr>
      <w:r>
        <w:rPr>
          <w:sz w:val="24"/>
        </w:rPr>
        <w:t>A.</w:t>
      </w:r>
      <w:r>
        <w:rPr>
          <w:sz w:val="24"/>
        </w:rPr>
        <w:tab/>
      </w:r>
      <w:r w:rsidR="00D43CBA">
        <w:rPr>
          <w:sz w:val="24"/>
        </w:rPr>
        <w:t>Yes.  That phrase is “ring-fencing,” and i</w:t>
      </w:r>
      <w:r w:rsidR="00DC5460">
        <w:rPr>
          <w:sz w:val="24"/>
        </w:rPr>
        <w:t xml:space="preserve">n </w:t>
      </w:r>
      <w:r w:rsidR="00B93D20">
        <w:rPr>
          <w:sz w:val="24"/>
        </w:rPr>
        <w:t>a regulatory context</w:t>
      </w:r>
      <w:r w:rsidR="00D43CBA">
        <w:rPr>
          <w:sz w:val="24"/>
        </w:rPr>
        <w:t xml:space="preserve"> it </w:t>
      </w:r>
      <w:r w:rsidR="00014D3D">
        <w:rPr>
          <w:sz w:val="24"/>
        </w:rPr>
        <w:t xml:space="preserve">refers to the </w:t>
      </w:r>
      <w:r w:rsidR="00296451">
        <w:rPr>
          <w:sz w:val="24"/>
        </w:rPr>
        <w:t xml:space="preserve">general </w:t>
      </w:r>
      <w:r w:rsidR="00014D3D">
        <w:rPr>
          <w:sz w:val="24"/>
        </w:rPr>
        <w:t xml:space="preserve">concept of establishing various requirements </w:t>
      </w:r>
      <w:r w:rsidR="00DC5460">
        <w:rPr>
          <w:sz w:val="24"/>
        </w:rPr>
        <w:t xml:space="preserve">or policies </w:t>
      </w:r>
      <w:r w:rsidR="00014D3D">
        <w:rPr>
          <w:sz w:val="24"/>
        </w:rPr>
        <w:t xml:space="preserve">that effectively </w:t>
      </w:r>
      <w:r w:rsidR="00DC5460">
        <w:rPr>
          <w:sz w:val="24"/>
        </w:rPr>
        <w:t xml:space="preserve">isolate and thereby </w:t>
      </w:r>
      <w:r w:rsidR="00014D3D">
        <w:rPr>
          <w:sz w:val="24"/>
        </w:rPr>
        <w:t xml:space="preserve">insulate </w:t>
      </w:r>
      <w:r w:rsidR="00950043">
        <w:rPr>
          <w:sz w:val="24"/>
        </w:rPr>
        <w:t>a regulated</w:t>
      </w:r>
      <w:r w:rsidR="00014D3D">
        <w:rPr>
          <w:sz w:val="24"/>
        </w:rPr>
        <w:t xml:space="preserve"> entity from the effects of a parent organization</w:t>
      </w:r>
      <w:r w:rsidR="00DC5460">
        <w:rPr>
          <w:sz w:val="24"/>
        </w:rPr>
        <w:t>’s</w:t>
      </w:r>
      <w:r w:rsidR="00014D3D">
        <w:rPr>
          <w:sz w:val="24"/>
        </w:rPr>
        <w:t xml:space="preserve"> </w:t>
      </w:r>
      <w:r>
        <w:rPr>
          <w:sz w:val="24"/>
        </w:rPr>
        <w:t xml:space="preserve">financial distress and, in a worst case, </w:t>
      </w:r>
      <w:r w:rsidR="00014D3D">
        <w:rPr>
          <w:sz w:val="24"/>
        </w:rPr>
        <w:t xml:space="preserve">bankruptcy.  </w:t>
      </w:r>
      <w:r w:rsidR="00603833">
        <w:rPr>
          <w:sz w:val="24"/>
        </w:rPr>
        <w:t xml:space="preserve">As noted </w:t>
      </w:r>
      <w:r w:rsidR="00F64E16">
        <w:rPr>
          <w:sz w:val="24"/>
        </w:rPr>
        <w:t>above</w:t>
      </w:r>
      <w:r w:rsidR="00603833">
        <w:rPr>
          <w:sz w:val="24"/>
        </w:rPr>
        <w:t xml:space="preserve">, a basic regulatory function is the </w:t>
      </w:r>
      <w:r w:rsidR="005D19C6">
        <w:rPr>
          <w:sz w:val="24"/>
        </w:rPr>
        <w:t>maintenance</w:t>
      </w:r>
      <w:r w:rsidR="00B12727">
        <w:rPr>
          <w:sz w:val="24"/>
        </w:rPr>
        <w:t xml:space="preserve"> </w:t>
      </w:r>
      <w:r w:rsidR="00603833">
        <w:rPr>
          <w:sz w:val="24"/>
        </w:rPr>
        <w:t xml:space="preserve">of </w:t>
      </w:r>
      <w:r w:rsidR="00B12727">
        <w:rPr>
          <w:sz w:val="24"/>
        </w:rPr>
        <w:t xml:space="preserve">a utility’s financial ability to deliver reliable service at reasonable rates, </w:t>
      </w:r>
      <w:r w:rsidR="00603833">
        <w:rPr>
          <w:sz w:val="24"/>
        </w:rPr>
        <w:t xml:space="preserve">and </w:t>
      </w:r>
      <w:r w:rsidR="00B12727">
        <w:rPr>
          <w:sz w:val="24"/>
        </w:rPr>
        <w:t>r</w:t>
      </w:r>
      <w:r w:rsidR="00950043">
        <w:rPr>
          <w:sz w:val="24"/>
        </w:rPr>
        <w:t xml:space="preserve">ing-fencing provisions are a tool that the Commission can use to carry out this most </w:t>
      </w:r>
      <w:r w:rsidR="00296451">
        <w:rPr>
          <w:sz w:val="24"/>
        </w:rPr>
        <w:t>fundamental</w:t>
      </w:r>
      <w:r w:rsidR="005409F4">
        <w:rPr>
          <w:sz w:val="24"/>
        </w:rPr>
        <w:t xml:space="preserve"> </w:t>
      </w:r>
      <w:r w:rsidR="00DC5460">
        <w:rPr>
          <w:sz w:val="24"/>
        </w:rPr>
        <w:t>public interest goal</w:t>
      </w:r>
      <w:r w:rsidR="00014D3D">
        <w:rPr>
          <w:sz w:val="24"/>
        </w:rPr>
        <w:t xml:space="preserve">.  </w:t>
      </w:r>
    </w:p>
    <w:p w:rsidR="00014D3D" w:rsidRDefault="00014D3D" w:rsidP="000D58BD">
      <w:pPr>
        <w:ind w:left="720" w:right="360" w:hanging="720"/>
        <w:jc w:val="both"/>
        <w:rPr>
          <w:b/>
          <w:sz w:val="24"/>
        </w:rPr>
      </w:pPr>
    </w:p>
    <w:p w:rsidR="00A06DD6" w:rsidRPr="00DB4D84" w:rsidRDefault="00DB4D84" w:rsidP="009D5157">
      <w:pPr>
        <w:spacing w:line="480" w:lineRule="exact"/>
        <w:ind w:left="720" w:right="360" w:hanging="720"/>
        <w:jc w:val="both"/>
        <w:rPr>
          <w:b/>
          <w:sz w:val="24"/>
        </w:rPr>
      </w:pPr>
      <w:r w:rsidRPr="00DB4D84">
        <w:rPr>
          <w:b/>
          <w:sz w:val="24"/>
        </w:rPr>
        <w:t>Q.</w:t>
      </w:r>
      <w:r w:rsidRPr="00DB4D84">
        <w:rPr>
          <w:b/>
          <w:sz w:val="24"/>
        </w:rPr>
        <w:tab/>
      </w:r>
      <w:r w:rsidR="00472E3B">
        <w:rPr>
          <w:b/>
          <w:sz w:val="24"/>
        </w:rPr>
        <w:t>In what proceedings h</w:t>
      </w:r>
      <w:r w:rsidRPr="00DB4D84">
        <w:rPr>
          <w:b/>
          <w:sz w:val="24"/>
        </w:rPr>
        <w:t xml:space="preserve">as the Commission implemented </w:t>
      </w:r>
      <w:r w:rsidR="00472E3B">
        <w:rPr>
          <w:b/>
          <w:sz w:val="24"/>
        </w:rPr>
        <w:t xml:space="preserve">ring-fencing provisions, </w:t>
      </w:r>
      <w:r w:rsidR="00014D3D">
        <w:rPr>
          <w:b/>
          <w:sz w:val="24"/>
        </w:rPr>
        <w:t xml:space="preserve">including </w:t>
      </w:r>
      <w:r w:rsidR="00950043">
        <w:rPr>
          <w:b/>
          <w:sz w:val="24"/>
        </w:rPr>
        <w:t xml:space="preserve">the use of </w:t>
      </w:r>
      <w:r w:rsidR="00472E3B">
        <w:rPr>
          <w:b/>
          <w:sz w:val="24"/>
        </w:rPr>
        <w:t>measures specifically related to financial protection</w:t>
      </w:r>
      <w:r w:rsidRPr="00DB4D84">
        <w:rPr>
          <w:b/>
          <w:sz w:val="24"/>
        </w:rPr>
        <w:t>?</w:t>
      </w:r>
    </w:p>
    <w:p w:rsidR="00014D3D" w:rsidRDefault="00DB4D84" w:rsidP="009D5157">
      <w:pPr>
        <w:spacing w:line="480" w:lineRule="exact"/>
        <w:ind w:left="720" w:right="360" w:hanging="720"/>
        <w:jc w:val="both"/>
        <w:rPr>
          <w:sz w:val="24"/>
        </w:rPr>
      </w:pPr>
      <w:r>
        <w:rPr>
          <w:sz w:val="24"/>
        </w:rPr>
        <w:t>A.</w:t>
      </w:r>
      <w:r>
        <w:rPr>
          <w:sz w:val="24"/>
        </w:rPr>
        <w:tab/>
        <w:t xml:space="preserve">The Commission has ordered </w:t>
      </w:r>
      <w:r w:rsidR="00014D3D">
        <w:rPr>
          <w:sz w:val="24"/>
        </w:rPr>
        <w:t xml:space="preserve">ring-fencing provisions in a number of dockets, </w:t>
      </w:r>
      <w:r w:rsidR="00626AF0">
        <w:rPr>
          <w:sz w:val="24"/>
        </w:rPr>
        <w:t xml:space="preserve">including two that </w:t>
      </w:r>
      <w:r w:rsidR="00014D3D">
        <w:rPr>
          <w:sz w:val="24"/>
        </w:rPr>
        <w:t xml:space="preserve">have occurred </w:t>
      </w:r>
      <w:r w:rsidR="00626AF0">
        <w:rPr>
          <w:sz w:val="24"/>
        </w:rPr>
        <w:t>with</w:t>
      </w:r>
      <w:r w:rsidR="00014D3D">
        <w:rPr>
          <w:sz w:val="24"/>
        </w:rPr>
        <w:t xml:space="preserve">in </w:t>
      </w:r>
      <w:r w:rsidR="00626AF0">
        <w:rPr>
          <w:sz w:val="24"/>
        </w:rPr>
        <w:t xml:space="preserve">the last </w:t>
      </w:r>
      <w:r w:rsidR="00166122">
        <w:rPr>
          <w:sz w:val="24"/>
        </w:rPr>
        <w:t>16 months</w:t>
      </w:r>
      <w:r w:rsidR="00014D3D">
        <w:rPr>
          <w:sz w:val="24"/>
        </w:rPr>
        <w:t xml:space="preserve">.  </w:t>
      </w:r>
      <w:r w:rsidR="00FE049A">
        <w:rPr>
          <w:sz w:val="24"/>
        </w:rPr>
        <w:t>Since 2008, t</w:t>
      </w:r>
      <w:r w:rsidR="00B35256">
        <w:rPr>
          <w:sz w:val="24"/>
        </w:rPr>
        <w:t xml:space="preserve">hese </w:t>
      </w:r>
      <w:r w:rsidR="00166122">
        <w:rPr>
          <w:sz w:val="24"/>
        </w:rPr>
        <w:t xml:space="preserve">dockets </w:t>
      </w:r>
      <w:r w:rsidR="00F43B0B">
        <w:rPr>
          <w:sz w:val="24"/>
        </w:rPr>
        <w:t xml:space="preserve">have </w:t>
      </w:r>
      <w:r w:rsidR="00FE049A">
        <w:rPr>
          <w:sz w:val="24"/>
        </w:rPr>
        <w:t>included</w:t>
      </w:r>
      <w:r w:rsidR="00B35256">
        <w:rPr>
          <w:sz w:val="24"/>
        </w:rPr>
        <w:t>:</w:t>
      </w:r>
    </w:p>
    <w:p w:rsidR="003F5E8D" w:rsidRDefault="003F5E8D" w:rsidP="003F5E8D">
      <w:pPr>
        <w:pStyle w:val="ListParagraph"/>
        <w:ind w:left="1440" w:right="720"/>
        <w:jc w:val="both"/>
      </w:pPr>
    </w:p>
    <w:p w:rsidR="00B35256" w:rsidRDefault="00B35256" w:rsidP="003F5E8D">
      <w:pPr>
        <w:pStyle w:val="ListParagraph"/>
        <w:numPr>
          <w:ilvl w:val="0"/>
          <w:numId w:val="28"/>
        </w:numPr>
        <w:ind w:left="1440" w:right="720" w:hanging="270"/>
        <w:jc w:val="both"/>
      </w:pPr>
      <w:r w:rsidRPr="003F5E8D">
        <w:t>Docket No. 34077</w:t>
      </w:r>
      <w:r w:rsidR="00893230" w:rsidRPr="003F5E8D">
        <w:t xml:space="preserve">, </w:t>
      </w:r>
      <w:r w:rsidR="00893230" w:rsidRPr="003F5E8D">
        <w:rPr>
          <w:i/>
        </w:rPr>
        <w:t xml:space="preserve">Joint Report and Application of Oncor Electric Delivery Company and Texas Energy Future Holdings Limited Partnership Pursuant to PURA § 14.101 </w:t>
      </w:r>
      <w:r w:rsidR="00893230" w:rsidRPr="003F5E8D">
        <w:t>(Orde</w:t>
      </w:r>
      <w:r w:rsidR="00626AF0">
        <w:t>r on Rehearing, April 24, 2008);</w:t>
      </w:r>
    </w:p>
    <w:p w:rsidR="00FE049A" w:rsidRDefault="00FE049A" w:rsidP="00FE049A">
      <w:pPr>
        <w:pStyle w:val="ListParagraph"/>
        <w:ind w:left="1440" w:right="720"/>
        <w:jc w:val="both"/>
      </w:pPr>
    </w:p>
    <w:p w:rsidR="00FE049A" w:rsidRDefault="00FE049A" w:rsidP="003F5E8D">
      <w:pPr>
        <w:pStyle w:val="ListParagraph"/>
        <w:numPr>
          <w:ilvl w:val="0"/>
          <w:numId w:val="28"/>
        </w:numPr>
        <w:ind w:left="1440" w:right="720" w:hanging="270"/>
        <w:jc w:val="both"/>
      </w:pPr>
      <w:r>
        <w:t xml:space="preserve">Docket No. 45188, </w:t>
      </w:r>
      <w:r w:rsidRPr="00FE049A">
        <w:rPr>
          <w:i/>
        </w:rPr>
        <w:t>Joint Report and Application of Oncor Electric Delivery Company LLC, Ovation Acquisition I, LLC, Ovation Acquisition II, LLC, and Shary Holdings, LLC for Regulatory Approvals Pursuant to PURA §§ 14.101, 37.154, 39.262(l)-(m), and 39.915</w:t>
      </w:r>
      <w:r>
        <w:t xml:space="preserve"> (Order, March 24, 2016);</w:t>
      </w:r>
    </w:p>
    <w:p w:rsidR="003F5E8D" w:rsidRPr="003F5E8D" w:rsidRDefault="003F5E8D" w:rsidP="003F5E8D">
      <w:pPr>
        <w:pStyle w:val="ListParagraph"/>
        <w:ind w:left="1440" w:right="720" w:firstLine="450"/>
        <w:jc w:val="both"/>
      </w:pPr>
    </w:p>
    <w:p w:rsidR="00B35256" w:rsidRDefault="00B35256" w:rsidP="003F5E8D">
      <w:pPr>
        <w:pStyle w:val="ListParagraph"/>
        <w:numPr>
          <w:ilvl w:val="0"/>
          <w:numId w:val="28"/>
        </w:numPr>
        <w:ind w:left="1440" w:right="720" w:hanging="270"/>
        <w:jc w:val="both"/>
      </w:pPr>
      <w:r w:rsidRPr="003F5E8D">
        <w:t xml:space="preserve">Docket No. </w:t>
      </w:r>
      <w:r w:rsidR="00893230" w:rsidRPr="003F5E8D">
        <w:t xml:space="preserve">47675, </w:t>
      </w:r>
      <w:r w:rsidR="00893230" w:rsidRPr="003F5E8D">
        <w:rPr>
          <w:i/>
        </w:rPr>
        <w:t xml:space="preserve">Joint Report and Application of Oncor Electric Delivery Company LLC and </w:t>
      </w:r>
      <w:r w:rsidR="00F52EB9" w:rsidRPr="003F5E8D">
        <w:rPr>
          <w:i/>
        </w:rPr>
        <w:t>Sempra</w:t>
      </w:r>
      <w:r w:rsidR="00296451">
        <w:rPr>
          <w:i/>
        </w:rPr>
        <w:t xml:space="preserve"> Energy for Regulatory A</w:t>
      </w:r>
      <w:r w:rsidR="00893230" w:rsidRPr="003F5E8D">
        <w:rPr>
          <w:i/>
        </w:rPr>
        <w:t>pprovals Pursuant to PURA §§ 14.101, 39.262, and 39.915</w:t>
      </w:r>
      <w:r w:rsidR="00626AF0">
        <w:t xml:space="preserve"> (Order, March 8, 2018); and</w:t>
      </w:r>
    </w:p>
    <w:p w:rsidR="003F5E8D" w:rsidRPr="003F5E8D" w:rsidRDefault="003F5E8D" w:rsidP="003F5E8D">
      <w:pPr>
        <w:pStyle w:val="ListParagraph"/>
        <w:ind w:left="1440" w:right="720" w:firstLine="450"/>
        <w:jc w:val="both"/>
      </w:pPr>
    </w:p>
    <w:p w:rsidR="00B35256" w:rsidRDefault="00893230" w:rsidP="003F5E8D">
      <w:pPr>
        <w:pStyle w:val="ListParagraph"/>
        <w:numPr>
          <w:ilvl w:val="0"/>
          <w:numId w:val="28"/>
        </w:numPr>
        <w:ind w:left="1440" w:right="720" w:hanging="270"/>
        <w:jc w:val="both"/>
      </w:pPr>
      <w:r w:rsidRPr="003F5E8D">
        <w:t xml:space="preserve">Docket No. 48929, </w:t>
      </w:r>
      <w:r w:rsidRPr="003F5E8D">
        <w:rPr>
          <w:i/>
        </w:rPr>
        <w:t xml:space="preserve">Joint Report and Application of Oncor Electric Delivery Company LLC, Sharyland Distribution &amp; Transmission Services, L.L.C., Sharyland Utilities, L.P., and </w:t>
      </w:r>
      <w:r w:rsidR="00F52EB9" w:rsidRPr="003F5E8D">
        <w:rPr>
          <w:i/>
        </w:rPr>
        <w:t>Sempra</w:t>
      </w:r>
      <w:r w:rsidRPr="003F5E8D">
        <w:rPr>
          <w:i/>
        </w:rPr>
        <w:t xml:space="preserve"> Energy for Regulatory Approvals Under PURA §§ 14.101, 37.154, 39.262, and 39.915</w:t>
      </w:r>
      <w:r w:rsidRPr="003F5E8D">
        <w:t xml:space="preserve"> (</w:t>
      </w:r>
      <w:r w:rsidR="003F5E8D">
        <w:t xml:space="preserve">Order, </w:t>
      </w:r>
      <w:r w:rsidRPr="003F5E8D">
        <w:t>May 9, 2019).</w:t>
      </w:r>
    </w:p>
    <w:p w:rsidR="003F5E8D" w:rsidRPr="003F5E8D" w:rsidRDefault="003F5E8D" w:rsidP="003F5E8D">
      <w:pPr>
        <w:pStyle w:val="ListParagraph"/>
        <w:ind w:left="1440" w:right="720"/>
        <w:jc w:val="both"/>
      </w:pPr>
    </w:p>
    <w:p w:rsidR="00472E3B" w:rsidRDefault="00B35256" w:rsidP="009D5157">
      <w:pPr>
        <w:spacing w:line="480" w:lineRule="exact"/>
        <w:ind w:left="720" w:right="360" w:hanging="720"/>
        <w:jc w:val="both"/>
        <w:rPr>
          <w:sz w:val="24"/>
        </w:rPr>
      </w:pPr>
      <w:r>
        <w:rPr>
          <w:sz w:val="24"/>
        </w:rPr>
        <w:lastRenderedPageBreak/>
        <w:tab/>
      </w:r>
      <w:r w:rsidR="00575F93">
        <w:rPr>
          <w:sz w:val="24"/>
        </w:rPr>
        <w:t>Commission orders for all</w:t>
      </w:r>
      <w:r w:rsidR="00626AF0">
        <w:rPr>
          <w:sz w:val="24"/>
        </w:rPr>
        <w:t xml:space="preserve"> </w:t>
      </w:r>
      <w:r w:rsidR="00472E3B">
        <w:rPr>
          <w:sz w:val="24"/>
        </w:rPr>
        <w:t>the</w:t>
      </w:r>
      <w:r w:rsidR="003F5E8D">
        <w:rPr>
          <w:sz w:val="24"/>
        </w:rPr>
        <w:t>se</w:t>
      </w:r>
      <w:r w:rsidR="00472E3B">
        <w:rPr>
          <w:sz w:val="24"/>
        </w:rPr>
        <w:t xml:space="preserve"> </w:t>
      </w:r>
      <w:r w:rsidR="00575F93">
        <w:rPr>
          <w:sz w:val="24"/>
        </w:rPr>
        <w:t>dockets</w:t>
      </w:r>
      <w:r w:rsidR="00472E3B">
        <w:rPr>
          <w:sz w:val="24"/>
        </w:rPr>
        <w:t xml:space="preserve"> include</w:t>
      </w:r>
      <w:r w:rsidR="00A10B11">
        <w:rPr>
          <w:sz w:val="24"/>
        </w:rPr>
        <w:t xml:space="preserve"> various types of</w:t>
      </w:r>
      <w:r w:rsidR="00472E3B">
        <w:rPr>
          <w:sz w:val="24"/>
        </w:rPr>
        <w:t xml:space="preserve"> ring-fencing provisions</w:t>
      </w:r>
      <w:r w:rsidR="00AC5AE7">
        <w:rPr>
          <w:sz w:val="24"/>
        </w:rPr>
        <w:t>, many of which a</w:t>
      </w:r>
      <w:r w:rsidR="00A10B11">
        <w:rPr>
          <w:sz w:val="24"/>
        </w:rPr>
        <w:t xml:space="preserve">re </w:t>
      </w:r>
      <w:r w:rsidR="002D5742">
        <w:rPr>
          <w:sz w:val="24"/>
        </w:rPr>
        <w:t>of a financial-protection nature.</w:t>
      </w:r>
    </w:p>
    <w:p w:rsidR="00472E3B" w:rsidRDefault="00472E3B" w:rsidP="000D58BD">
      <w:pPr>
        <w:ind w:left="720" w:right="360" w:hanging="720"/>
        <w:jc w:val="both"/>
        <w:rPr>
          <w:sz w:val="24"/>
        </w:rPr>
      </w:pPr>
    </w:p>
    <w:p w:rsidR="00B35256" w:rsidRPr="00B35256" w:rsidRDefault="00B35256" w:rsidP="009D5157">
      <w:pPr>
        <w:spacing w:line="480" w:lineRule="exact"/>
        <w:ind w:left="720" w:right="360" w:hanging="720"/>
        <w:jc w:val="both"/>
        <w:rPr>
          <w:b/>
          <w:sz w:val="24"/>
        </w:rPr>
      </w:pPr>
      <w:r w:rsidRPr="00B35256">
        <w:rPr>
          <w:b/>
          <w:sz w:val="24"/>
        </w:rPr>
        <w:t>Q.</w:t>
      </w:r>
      <w:r w:rsidRPr="00B35256">
        <w:rPr>
          <w:b/>
          <w:sz w:val="24"/>
        </w:rPr>
        <w:tab/>
        <w:t xml:space="preserve">Each of the dockets listed above was a sale-transfer-merger </w:t>
      </w:r>
      <w:r>
        <w:rPr>
          <w:b/>
          <w:sz w:val="24"/>
        </w:rPr>
        <w:t xml:space="preserve">(STM) </w:t>
      </w:r>
      <w:r w:rsidRPr="00B35256">
        <w:rPr>
          <w:b/>
          <w:sz w:val="24"/>
        </w:rPr>
        <w:t>proceeding, not a rate case such as this docket.  Do</w:t>
      </w:r>
      <w:r>
        <w:rPr>
          <w:b/>
          <w:sz w:val="24"/>
        </w:rPr>
        <w:t xml:space="preserve">es </w:t>
      </w:r>
      <w:r w:rsidRPr="00B35256">
        <w:rPr>
          <w:b/>
          <w:sz w:val="24"/>
        </w:rPr>
        <w:t>this</w:t>
      </w:r>
      <w:r w:rsidR="00D15895">
        <w:rPr>
          <w:b/>
          <w:sz w:val="24"/>
        </w:rPr>
        <w:t xml:space="preserve"> distinction</w:t>
      </w:r>
      <w:r w:rsidRPr="00B35256">
        <w:rPr>
          <w:b/>
          <w:sz w:val="24"/>
        </w:rPr>
        <w:t xml:space="preserve"> matter</w:t>
      </w:r>
      <w:r w:rsidR="003F5E8D">
        <w:rPr>
          <w:b/>
          <w:sz w:val="24"/>
        </w:rPr>
        <w:t xml:space="preserve"> with regard to the Commission’s consideration of whether the use of ring-fencing provisions may be appropriate</w:t>
      </w:r>
      <w:r w:rsidR="00575F93">
        <w:rPr>
          <w:b/>
          <w:sz w:val="24"/>
        </w:rPr>
        <w:t xml:space="preserve"> in a given proceeding</w:t>
      </w:r>
      <w:r w:rsidRPr="00B35256">
        <w:rPr>
          <w:b/>
          <w:sz w:val="24"/>
        </w:rPr>
        <w:t>?</w:t>
      </w:r>
    </w:p>
    <w:p w:rsidR="00B35256" w:rsidRDefault="00B35256" w:rsidP="009D5157">
      <w:pPr>
        <w:spacing w:line="480" w:lineRule="exact"/>
        <w:ind w:left="720" w:right="360" w:hanging="720"/>
        <w:jc w:val="both"/>
        <w:rPr>
          <w:sz w:val="24"/>
        </w:rPr>
      </w:pPr>
      <w:r>
        <w:rPr>
          <w:sz w:val="24"/>
        </w:rPr>
        <w:t>A.</w:t>
      </w:r>
      <w:r>
        <w:rPr>
          <w:sz w:val="24"/>
        </w:rPr>
        <w:tab/>
        <w:t xml:space="preserve">I do not believe that it </w:t>
      </w:r>
      <w:r w:rsidR="00760923">
        <w:rPr>
          <w:sz w:val="24"/>
        </w:rPr>
        <w:t>does</w:t>
      </w:r>
      <w:r>
        <w:rPr>
          <w:sz w:val="24"/>
        </w:rPr>
        <w:t>.  With regard to STM proceedings, PURA’s relevant provisions</w:t>
      </w:r>
      <w:r w:rsidR="00760923">
        <w:rPr>
          <w:rStyle w:val="FootnoteReference"/>
          <w:sz w:val="24"/>
        </w:rPr>
        <w:footnoteReference w:id="2"/>
      </w:r>
      <w:r>
        <w:rPr>
          <w:sz w:val="24"/>
        </w:rPr>
        <w:t xml:space="preserve"> do not i</w:t>
      </w:r>
      <w:r w:rsidR="00760923">
        <w:rPr>
          <w:sz w:val="24"/>
        </w:rPr>
        <w:t xml:space="preserve">nclude </w:t>
      </w:r>
      <w:r w:rsidR="00760923" w:rsidRPr="00836C9D">
        <w:rPr>
          <w:sz w:val="24"/>
        </w:rPr>
        <w:t xml:space="preserve">language expressly </w:t>
      </w:r>
      <w:r w:rsidR="002D5742" w:rsidRPr="00836C9D">
        <w:rPr>
          <w:sz w:val="24"/>
        </w:rPr>
        <w:t>requiring</w:t>
      </w:r>
      <w:r w:rsidR="002D5742">
        <w:rPr>
          <w:sz w:val="24"/>
        </w:rPr>
        <w:t xml:space="preserve"> </w:t>
      </w:r>
      <w:r w:rsidR="00760923">
        <w:rPr>
          <w:sz w:val="24"/>
        </w:rPr>
        <w:t>the implementation of ring-fencing provisions.</w:t>
      </w:r>
      <w:r w:rsidR="00575F93">
        <w:rPr>
          <w:sz w:val="24"/>
        </w:rPr>
        <w:t xml:space="preserve"> </w:t>
      </w:r>
      <w:r w:rsidR="00D35C35">
        <w:rPr>
          <w:sz w:val="24"/>
        </w:rPr>
        <w:t xml:space="preserve"> </w:t>
      </w:r>
      <w:r w:rsidR="005E16DE">
        <w:rPr>
          <w:sz w:val="24"/>
        </w:rPr>
        <w:t>Nonetheless, f</w:t>
      </w:r>
      <w:r w:rsidR="00626AF0">
        <w:rPr>
          <w:sz w:val="24"/>
        </w:rPr>
        <w:t xml:space="preserve">or the Commission decisions in </w:t>
      </w:r>
      <w:r w:rsidR="00760923">
        <w:rPr>
          <w:sz w:val="24"/>
        </w:rPr>
        <w:t xml:space="preserve">the </w:t>
      </w:r>
      <w:r w:rsidR="004136CC">
        <w:rPr>
          <w:sz w:val="24"/>
        </w:rPr>
        <w:t>four</w:t>
      </w:r>
      <w:r w:rsidR="00626AF0">
        <w:rPr>
          <w:sz w:val="24"/>
        </w:rPr>
        <w:t xml:space="preserve"> </w:t>
      </w:r>
      <w:r w:rsidR="00760923">
        <w:rPr>
          <w:sz w:val="24"/>
        </w:rPr>
        <w:t xml:space="preserve">dockets listed above, </w:t>
      </w:r>
      <w:r w:rsidR="002D5742">
        <w:rPr>
          <w:sz w:val="24"/>
        </w:rPr>
        <w:t xml:space="preserve">I </w:t>
      </w:r>
      <w:r w:rsidR="00626AF0">
        <w:rPr>
          <w:sz w:val="24"/>
        </w:rPr>
        <w:t>b</w:t>
      </w:r>
      <w:r w:rsidR="002D5742">
        <w:rPr>
          <w:sz w:val="24"/>
        </w:rPr>
        <w:t xml:space="preserve">elieve that </w:t>
      </w:r>
      <w:r w:rsidR="00760923">
        <w:rPr>
          <w:sz w:val="24"/>
        </w:rPr>
        <w:t xml:space="preserve">the Commission included </w:t>
      </w:r>
      <w:r w:rsidR="00626AF0">
        <w:rPr>
          <w:sz w:val="24"/>
        </w:rPr>
        <w:t>ring-fencing</w:t>
      </w:r>
      <w:r w:rsidR="00760923">
        <w:rPr>
          <w:sz w:val="24"/>
        </w:rPr>
        <w:t xml:space="preserve"> provisions </w:t>
      </w:r>
      <w:r w:rsidR="00626AF0">
        <w:rPr>
          <w:sz w:val="24"/>
        </w:rPr>
        <w:t xml:space="preserve">as part of its orders </w:t>
      </w:r>
      <w:r w:rsidR="00760923">
        <w:rPr>
          <w:sz w:val="24"/>
        </w:rPr>
        <w:t xml:space="preserve">because doing so was </w:t>
      </w:r>
      <w:r w:rsidR="00D15895">
        <w:rPr>
          <w:sz w:val="24"/>
        </w:rPr>
        <w:t xml:space="preserve">appropriate given the particulars of those </w:t>
      </w:r>
      <w:r w:rsidR="00575F93">
        <w:rPr>
          <w:sz w:val="24"/>
        </w:rPr>
        <w:t>cases</w:t>
      </w:r>
      <w:r w:rsidR="00D15895">
        <w:rPr>
          <w:sz w:val="24"/>
        </w:rPr>
        <w:t xml:space="preserve"> and, as well, </w:t>
      </w:r>
      <w:r w:rsidR="00626AF0">
        <w:rPr>
          <w:sz w:val="24"/>
        </w:rPr>
        <w:t xml:space="preserve">because </w:t>
      </w:r>
      <w:r w:rsidR="00D15895">
        <w:rPr>
          <w:sz w:val="24"/>
        </w:rPr>
        <w:t xml:space="preserve">it was </w:t>
      </w:r>
      <w:r w:rsidR="00760923">
        <w:rPr>
          <w:sz w:val="24"/>
        </w:rPr>
        <w:t xml:space="preserve">consistent with the broad statutory authority and </w:t>
      </w:r>
      <w:r w:rsidR="00626AF0">
        <w:rPr>
          <w:sz w:val="24"/>
        </w:rPr>
        <w:t xml:space="preserve">the </w:t>
      </w:r>
      <w:r w:rsidR="00760923">
        <w:rPr>
          <w:sz w:val="24"/>
        </w:rPr>
        <w:t>regulatory objectives</w:t>
      </w:r>
      <w:r w:rsidR="00296451">
        <w:rPr>
          <w:sz w:val="24"/>
        </w:rPr>
        <w:t xml:space="preserve"> that</w:t>
      </w:r>
      <w:r w:rsidR="00760923">
        <w:rPr>
          <w:sz w:val="24"/>
        </w:rPr>
        <w:t xml:space="preserve"> I </w:t>
      </w:r>
      <w:r w:rsidR="00626AF0">
        <w:rPr>
          <w:sz w:val="24"/>
        </w:rPr>
        <w:t>discussed</w:t>
      </w:r>
      <w:r w:rsidR="00760923">
        <w:rPr>
          <w:sz w:val="24"/>
        </w:rPr>
        <w:t xml:space="preserve"> earlier in my testimony</w:t>
      </w:r>
      <w:r w:rsidR="00D44EE0">
        <w:rPr>
          <w:sz w:val="24"/>
        </w:rPr>
        <w:t xml:space="preserve"> on pages 3 - 4</w:t>
      </w:r>
      <w:r w:rsidR="00760923">
        <w:rPr>
          <w:sz w:val="24"/>
        </w:rPr>
        <w:t xml:space="preserve">.  </w:t>
      </w:r>
      <w:r w:rsidR="00A10B11">
        <w:rPr>
          <w:sz w:val="24"/>
        </w:rPr>
        <w:t xml:space="preserve">In other words, the Commission’s decisions regarding the appropriateness of ring-fencing provisions </w:t>
      </w:r>
      <w:r w:rsidR="00D35C35">
        <w:rPr>
          <w:sz w:val="24"/>
        </w:rPr>
        <w:t>in those proceedings were</w:t>
      </w:r>
      <w:r w:rsidR="00A10B11">
        <w:rPr>
          <w:sz w:val="24"/>
        </w:rPr>
        <w:t xml:space="preserve"> entirely consistent with its fundamental responsibility of implementing regulatory policies and requirements </w:t>
      </w:r>
      <w:r w:rsidR="009C5899">
        <w:rPr>
          <w:sz w:val="24"/>
        </w:rPr>
        <w:t xml:space="preserve">that serve the public interest.  </w:t>
      </w:r>
      <w:r w:rsidR="00F64E16">
        <w:rPr>
          <w:sz w:val="24"/>
        </w:rPr>
        <w:t>As a general matter, w</w:t>
      </w:r>
      <w:r w:rsidR="00760923">
        <w:rPr>
          <w:sz w:val="24"/>
        </w:rPr>
        <w:t xml:space="preserve">ith regard to </w:t>
      </w:r>
      <w:r w:rsidR="00355DFF">
        <w:rPr>
          <w:sz w:val="24"/>
        </w:rPr>
        <w:t xml:space="preserve">Commission determinations </w:t>
      </w:r>
      <w:r w:rsidR="00626AF0">
        <w:rPr>
          <w:sz w:val="24"/>
        </w:rPr>
        <w:t xml:space="preserve">on issues pertaining to </w:t>
      </w:r>
      <w:r w:rsidR="00355DFF">
        <w:rPr>
          <w:sz w:val="24"/>
        </w:rPr>
        <w:t xml:space="preserve">the implementation of </w:t>
      </w:r>
      <w:r w:rsidR="00760923">
        <w:rPr>
          <w:sz w:val="24"/>
        </w:rPr>
        <w:t xml:space="preserve">mechanisms that </w:t>
      </w:r>
      <w:r w:rsidR="002D5742">
        <w:rPr>
          <w:sz w:val="24"/>
        </w:rPr>
        <w:t xml:space="preserve">serve to maintain </w:t>
      </w:r>
      <w:r w:rsidR="00760923">
        <w:rPr>
          <w:sz w:val="24"/>
        </w:rPr>
        <w:t xml:space="preserve">a utility’s financial stability and ability to provide reliable service at reasonable rates, </w:t>
      </w:r>
      <w:r w:rsidR="00575F93">
        <w:rPr>
          <w:sz w:val="24"/>
        </w:rPr>
        <w:t xml:space="preserve">I believe that </w:t>
      </w:r>
      <w:r w:rsidR="00760923">
        <w:rPr>
          <w:sz w:val="24"/>
        </w:rPr>
        <w:t xml:space="preserve">the same logic </w:t>
      </w:r>
      <w:r w:rsidR="00296451">
        <w:rPr>
          <w:sz w:val="24"/>
        </w:rPr>
        <w:t>and rationale apply</w:t>
      </w:r>
      <w:r w:rsidR="00760923">
        <w:rPr>
          <w:sz w:val="24"/>
        </w:rPr>
        <w:t xml:space="preserve"> </w:t>
      </w:r>
      <w:r w:rsidR="00575F93">
        <w:rPr>
          <w:sz w:val="24"/>
        </w:rPr>
        <w:t>irrespective</w:t>
      </w:r>
      <w:r w:rsidR="00355DFF">
        <w:rPr>
          <w:sz w:val="24"/>
        </w:rPr>
        <w:t xml:space="preserve"> of </w:t>
      </w:r>
      <w:r w:rsidR="00760923">
        <w:rPr>
          <w:sz w:val="24"/>
        </w:rPr>
        <w:t>whether the proceeding is an STM docket or a rate-related docket.</w:t>
      </w:r>
    </w:p>
    <w:p w:rsidR="001D6E34" w:rsidRDefault="001D6E34" w:rsidP="000D58BD">
      <w:pPr>
        <w:ind w:left="720" w:right="360" w:hanging="720"/>
        <w:jc w:val="both"/>
        <w:rPr>
          <w:sz w:val="24"/>
        </w:rPr>
      </w:pPr>
    </w:p>
    <w:p w:rsidR="001B5229" w:rsidRDefault="001B5229" w:rsidP="009D5157">
      <w:pPr>
        <w:spacing w:line="480" w:lineRule="exact"/>
        <w:ind w:left="720" w:right="360" w:hanging="720"/>
        <w:jc w:val="both"/>
        <w:rPr>
          <w:b/>
          <w:sz w:val="24"/>
        </w:rPr>
      </w:pPr>
    </w:p>
    <w:p w:rsidR="00E22303" w:rsidRDefault="00E22303">
      <w:pPr>
        <w:rPr>
          <w:b/>
          <w:sz w:val="24"/>
        </w:rPr>
      </w:pPr>
      <w:r>
        <w:rPr>
          <w:b/>
          <w:sz w:val="24"/>
        </w:rPr>
        <w:br w:type="page"/>
      </w:r>
    </w:p>
    <w:p w:rsidR="009A52D1" w:rsidRPr="009A52D1" w:rsidRDefault="009A52D1" w:rsidP="009D5157">
      <w:pPr>
        <w:spacing w:line="480" w:lineRule="exact"/>
        <w:ind w:left="720" w:right="360" w:hanging="720"/>
        <w:jc w:val="both"/>
        <w:rPr>
          <w:b/>
          <w:sz w:val="24"/>
        </w:rPr>
      </w:pPr>
      <w:r w:rsidRPr="009A52D1">
        <w:rPr>
          <w:b/>
          <w:sz w:val="24"/>
        </w:rPr>
        <w:lastRenderedPageBreak/>
        <w:t>Q.</w:t>
      </w:r>
      <w:r w:rsidRPr="009A52D1">
        <w:rPr>
          <w:b/>
          <w:sz w:val="24"/>
        </w:rPr>
        <w:tab/>
      </w:r>
      <w:r w:rsidR="00DA0F70">
        <w:rPr>
          <w:b/>
          <w:sz w:val="24"/>
        </w:rPr>
        <w:t xml:space="preserve">In the context of a </w:t>
      </w:r>
      <w:r w:rsidR="00DA0F70" w:rsidRPr="00296451">
        <w:rPr>
          <w:b/>
          <w:i/>
          <w:sz w:val="24"/>
        </w:rPr>
        <w:t>rate</w:t>
      </w:r>
      <w:r w:rsidR="00D35C35">
        <w:rPr>
          <w:b/>
          <w:i/>
          <w:sz w:val="24"/>
        </w:rPr>
        <w:t>-related</w:t>
      </w:r>
      <w:r w:rsidR="00D35C35">
        <w:rPr>
          <w:b/>
          <w:sz w:val="24"/>
        </w:rPr>
        <w:t xml:space="preserve"> docket</w:t>
      </w:r>
      <w:r w:rsidR="00DA0F70">
        <w:rPr>
          <w:b/>
          <w:sz w:val="24"/>
        </w:rPr>
        <w:t>, h</w:t>
      </w:r>
      <w:r w:rsidRPr="009A52D1">
        <w:rPr>
          <w:b/>
          <w:sz w:val="24"/>
        </w:rPr>
        <w:t xml:space="preserve">as CEHE ever </w:t>
      </w:r>
      <w:r w:rsidR="00D953B8">
        <w:rPr>
          <w:b/>
          <w:sz w:val="24"/>
        </w:rPr>
        <w:t xml:space="preserve">acknowledged </w:t>
      </w:r>
      <w:r w:rsidR="002E67C7">
        <w:rPr>
          <w:b/>
          <w:sz w:val="24"/>
        </w:rPr>
        <w:t xml:space="preserve">that </w:t>
      </w:r>
      <w:r w:rsidR="00D953B8">
        <w:rPr>
          <w:b/>
          <w:sz w:val="24"/>
        </w:rPr>
        <w:t xml:space="preserve">it </w:t>
      </w:r>
      <w:r>
        <w:rPr>
          <w:b/>
          <w:sz w:val="24"/>
        </w:rPr>
        <w:t>is</w:t>
      </w:r>
      <w:r w:rsidRPr="009A52D1">
        <w:rPr>
          <w:b/>
          <w:sz w:val="24"/>
        </w:rPr>
        <w:t xml:space="preserve"> subject to </w:t>
      </w:r>
      <w:r w:rsidR="00D953B8">
        <w:rPr>
          <w:b/>
          <w:sz w:val="24"/>
        </w:rPr>
        <w:t xml:space="preserve">ring-fencing </w:t>
      </w:r>
      <w:r w:rsidRPr="009A52D1">
        <w:rPr>
          <w:b/>
          <w:sz w:val="24"/>
        </w:rPr>
        <w:t>provisions</w:t>
      </w:r>
      <w:r w:rsidR="002E67C7">
        <w:rPr>
          <w:b/>
          <w:sz w:val="24"/>
        </w:rPr>
        <w:t xml:space="preserve"> established by the Commission</w:t>
      </w:r>
      <w:r w:rsidRPr="009A52D1">
        <w:rPr>
          <w:b/>
          <w:sz w:val="24"/>
        </w:rPr>
        <w:t>?</w:t>
      </w:r>
    </w:p>
    <w:p w:rsidR="00E4520E" w:rsidRDefault="009A52D1" w:rsidP="009D5157">
      <w:pPr>
        <w:spacing w:line="480" w:lineRule="exact"/>
        <w:ind w:left="720" w:right="360" w:hanging="720"/>
        <w:jc w:val="both"/>
        <w:rPr>
          <w:sz w:val="24"/>
        </w:rPr>
      </w:pPr>
      <w:r>
        <w:rPr>
          <w:sz w:val="24"/>
        </w:rPr>
        <w:t>A.</w:t>
      </w:r>
      <w:r>
        <w:rPr>
          <w:sz w:val="24"/>
        </w:rPr>
        <w:tab/>
      </w:r>
      <w:r w:rsidR="00D953B8">
        <w:rPr>
          <w:sz w:val="24"/>
        </w:rPr>
        <w:t>Yes</w:t>
      </w:r>
      <w:r>
        <w:rPr>
          <w:sz w:val="24"/>
        </w:rPr>
        <w:t xml:space="preserve">.  In </w:t>
      </w:r>
      <w:r w:rsidR="00B47F0E">
        <w:rPr>
          <w:sz w:val="24"/>
        </w:rPr>
        <w:t>fact, CEHE discussed ring-fencing in its</w:t>
      </w:r>
      <w:r>
        <w:rPr>
          <w:sz w:val="24"/>
        </w:rPr>
        <w:t xml:space="preserve"> </w:t>
      </w:r>
      <w:r w:rsidR="00B47F0E">
        <w:rPr>
          <w:sz w:val="24"/>
        </w:rPr>
        <w:t xml:space="preserve">most recent </w:t>
      </w:r>
      <w:r>
        <w:rPr>
          <w:sz w:val="24"/>
        </w:rPr>
        <w:t xml:space="preserve">comprehensive rate </w:t>
      </w:r>
      <w:r w:rsidR="00575F93">
        <w:rPr>
          <w:sz w:val="24"/>
        </w:rPr>
        <w:t>case</w:t>
      </w:r>
      <w:r>
        <w:rPr>
          <w:sz w:val="24"/>
        </w:rPr>
        <w:t xml:space="preserve"> (Docket No. 38339</w:t>
      </w:r>
      <w:r w:rsidR="00D953B8">
        <w:rPr>
          <w:rStyle w:val="FootnoteReference"/>
          <w:sz w:val="24"/>
        </w:rPr>
        <w:footnoteReference w:id="3"/>
      </w:r>
      <w:r w:rsidR="00B47F0E">
        <w:rPr>
          <w:sz w:val="24"/>
        </w:rPr>
        <w:t xml:space="preserve">).  </w:t>
      </w:r>
      <w:r w:rsidR="003C51EE">
        <w:rPr>
          <w:sz w:val="24"/>
        </w:rPr>
        <w:t xml:space="preserve">In that </w:t>
      </w:r>
      <w:r w:rsidR="00D35C35">
        <w:rPr>
          <w:sz w:val="24"/>
        </w:rPr>
        <w:t>proceeding</w:t>
      </w:r>
      <w:r w:rsidR="003C51EE">
        <w:rPr>
          <w:sz w:val="24"/>
        </w:rPr>
        <w:t xml:space="preserve">, </w:t>
      </w:r>
      <w:r w:rsidR="00B47F0E">
        <w:rPr>
          <w:sz w:val="24"/>
        </w:rPr>
        <w:t>CEHE witness John J. Reed addressed the issue of ring-fencing in his rebuttal testimony</w:t>
      </w:r>
      <w:r w:rsidR="001B38F2">
        <w:rPr>
          <w:sz w:val="24"/>
        </w:rPr>
        <w:t>, stating in a discussion of</w:t>
      </w:r>
      <w:r w:rsidR="00B47F0E">
        <w:rPr>
          <w:sz w:val="24"/>
        </w:rPr>
        <w:t xml:space="preserve"> tax-related issue</w:t>
      </w:r>
      <w:r w:rsidR="001B38F2">
        <w:rPr>
          <w:sz w:val="24"/>
        </w:rPr>
        <w:t>s</w:t>
      </w:r>
      <w:r w:rsidR="00B47F0E">
        <w:rPr>
          <w:sz w:val="24"/>
        </w:rPr>
        <w:t xml:space="preserve"> that</w:t>
      </w:r>
      <w:r w:rsidR="0058416F">
        <w:rPr>
          <w:sz w:val="24"/>
        </w:rPr>
        <w:t>:</w:t>
      </w:r>
      <w:r w:rsidR="00B47F0E">
        <w:rPr>
          <w:sz w:val="24"/>
        </w:rPr>
        <w:t xml:space="preserve"> </w:t>
      </w:r>
    </w:p>
    <w:p w:rsidR="00E4520E" w:rsidRDefault="00E4520E" w:rsidP="00E4520E">
      <w:pPr>
        <w:ind w:left="720" w:right="720"/>
        <w:jc w:val="both"/>
        <w:rPr>
          <w:sz w:val="24"/>
          <w:szCs w:val="24"/>
        </w:rPr>
      </w:pPr>
    </w:p>
    <w:p w:rsidR="00E4520E" w:rsidRDefault="00575F93" w:rsidP="00E4520E">
      <w:pPr>
        <w:ind w:left="1440" w:right="720"/>
        <w:jc w:val="both"/>
        <w:rPr>
          <w:sz w:val="24"/>
          <w:szCs w:val="24"/>
        </w:rPr>
      </w:pPr>
      <w:r>
        <w:rPr>
          <w:sz w:val="24"/>
          <w:szCs w:val="24"/>
        </w:rPr>
        <w:t>...i</w:t>
      </w:r>
      <w:r w:rsidR="0058416F">
        <w:rPr>
          <w:sz w:val="24"/>
          <w:szCs w:val="24"/>
        </w:rPr>
        <w:t xml:space="preserve">f </w:t>
      </w:r>
      <w:r w:rsidR="00B47F0E" w:rsidRPr="00E4520E">
        <w:rPr>
          <w:sz w:val="24"/>
          <w:szCs w:val="24"/>
        </w:rPr>
        <w:t>there are sufficient measures in place to prevent cross-subsidization between jurisdictional and non-jurisdictional affiliates, as is the case with CenterPoint Houston, then the utility is sufficiently ring-fenced so that it should not be entitled to any of the tax benefits that arose from losses generated from those same activit</w:t>
      </w:r>
      <w:r w:rsidR="00E4520E">
        <w:rPr>
          <w:sz w:val="24"/>
          <w:szCs w:val="24"/>
        </w:rPr>
        <w:t>ies from which it was protected</w:t>
      </w:r>
      <w:r w:rsidR="00B47F0E" w:rsidRPr="00B47F0E">
        <w:rPr>
          <w:sz w:val="24"/>
          <w:szCs w:val="24"/>
        </w:rPr>
        <w:t>.</w:t>
      </w:r>
      <w:r w:rsidR="00CC5019">
        <w:rPr>
          <w:rStyle w:val="FootnoteReference"/>
          <w:sz w:val="24"/>
          <w:szCs w:val="24"/>
        </w:rPr>
        <w:footnoteReference w:id="4"/>
      </w:r>
    </w:p>
    <w:p w:rsidR="00E4520E" w:rsidRDefault="00B47F0E" w:rsidP="00E4520E">
      <w:pPr>
        <w:ind w:left="1440" w:right="720"/>
        <w:jc w:val="both"/>
      </w:pPr>
      <w:r>
        <w:t xml:space="preserve"> </w:t>
      </w:r>
    </w:p>
    <w:p w:rsidR="002121C8" w:rsidRDefault="00D17A0F" w:rsidP="00E4520E">
      <w:pPr>
        <w:spacing w:line="480" w:lineRule="exact"/>
        <w:ind w:left="720" w:right="360"/>
        <w:jc w:val="both"/>
        <w:rPr>
          <w:sz w:val="24"/>
        </w:rPr>
      </w:pPr>
      <w:r>
        <w:rPr>
          <w:sz w:val="24"/>
        </w:rPr>
        <w:t>Also in Docket No. 38339</w:t>
      </w:r>
      <w:r w:rsidR="00B47F0E">
        <w:rPr>
          <w:sz w:val="24"/>
        </w:rPr>
        <w:t xml:space="preserve">, </w:t>
      </w:r>
      <w:r w:rsidR="002121C8">
        <w:rPr>
          <w:sz w:val="24"/>
        </w:rPr>
        <w:t>CEHE</w:t>
      </w:r>
      <w:r w:rsidR="005F7812">
        <w:rPr>
          <w:sz w:val="24"/>
        </w:rPr>
        <w:t xml:space="preserve"> stated in a </w:t>
      </w:r>
      <w:r w:rsidR="002121C8">
        <w:rPr>
          <w:sz w:val="24"/>
        </w:rPr>
        <w:t xml:space="preserve">response to </w:t>
      </w:r>
      <w:r w:rsidR="005F7812">
        <w:rPr>
          <w:sz w:val="24"/>
        </w:rPr>
        <w:t xml:space="preserve">Gulf Coast Coalition of Cities’ </w:t>
      </w:r>
      <w:r w:rsidR="00E07A30">
        <w:rPr>
          <w:sz w:val="24"/>
        </w:rPr>
        <w:t xml:space="preserve">(GCCC) </w:t>
      </w:r>
      <w:r w:rsidR="005F7812">
        <w:rPr>
          <w:sz w:val="24"/>
        </w:rPr>
        <w:t xml:space="preserve">Request for Information </w:t>
      </w:r>
      <w:r w:rsidR="00044FC8">
        <w:rPr>
          <w:sz w:val="24"/>
        </w:rPr>
        <w:t xml:space="preserve">(RFI) </w:t>
      </w:r>
      <w:r w:rsidR="002121C8">
        <w:rPr>
          <w:sz w:val="24"/>
        </w:rPr>
        <w:t xml:space="preserve">1-07 that:  </w:t>
      </w:r>
    </w:p>
    <w:p w:rsidR="002121C8" w:rsidRDefault="002121C8" w:rsidP="002121C8">
      <w:pPr>
        <w:ind w:left="720" w:right="720" w:hanging="720"/>
        <w:jc w:val="both"/>
        <w:rPr>
          <w:sz w:val="24"/>
        </w:rPr>
      </w:pPr>
      <w:r>
        <w:rPr>
          <w:sz w:val="24"/>
        </w:rPr>
        <w:tab/>
      </w:r>
      <w:r>
        <w:rPr>
          <w:sz w:val="24"/>
        </w:rPr>
        <w:tab/>
      </w:r>
    </w:p>
    <w:p w:rsidR="002121C8" w:rsidRDefault="002121C8" w:rsidP="002121C8">
      <w:pPr>
        <w:ind w:left="1440" w:right="720"/>
        <w:jc w:val="both"/>
        <w:rPr>
          <w:sz w:val="24"/>
        </w:rPr>
      </w:pPr>
      <w:r>
        <w:rPr>
          <w:sz w:val="24"/>
        </w:rPr>
        <w:t>Ring-fencing occurs when a regulated public utility business financially separates itself from its parent or an affiliate that engages in non-regulated business.  This is done mainly to protect consumers of essential services such as power, water, and basic telecommunications from financial instability or bankruptcy of the affiliate.  Ring-fencing policies may be of a regulatory or financial nature….</w:t>
      </w:r>
    </w:p>
    <w:p w:rsidR="002121C8" w:rsidRDefault="002121C8" w:rsidP="002121C8">
      <w:pPr>
        <w:ind w:left="720" w:right="720" w:hanging="720"/>
        <w:jc w:val="both"/>
        <w:rPr>
          <w:sz w:val="24"/>
        </w:rPr>
      </w:pPr>
    </w:p>
    <w:p w:rsidR="002121C8" w:rsidRDefault="002121C8" w:rsidP="002121C8">
      <w:pPr>
        <w:ind w:left="1440" w:right="720" w:hanging="1440"/>
        <w:jc w:val="both"/>
        <w:rPr>
          <w:sz w:val="24"/>
        </w:rPr>
      </w:pPr>
      <w:r>
        <w:rPr>
          <w:sz w:val="24"/>
        </w:rPr>
        <w:tab/>
        <w:t xml:space="preserve">CEHE employs practices to provide a regulatory ring-fence to isolate and protect the jurisdictional regulated utility and its customers from any adverse financial impact resulting from activities of the parent company and unregulated affiliates.  </w:t>
      </w:r>
      <w:r w:rsidRPr="004136CC">
        <w:rPr>
          <w:b/>
          <w:i/>
          <w:sz w:val="24"/>
        </w:rPr>
        <w:t>In fact, PURA and the Commission’s Substantive Rules require CEHE to employ such practices</w:t>
      </w:r>
      <w:r w:rsidR="004136CC">
        <w:rPr>
          <w:b/>
          <w:i/>
          <w:sz w:val="24"/>
        </w:rPr>
        <w:t xml:space="preserve"> </w:t>
      </w:r>
      <w:r w:rsidR="004136CC">
        <w:rPr>
          <w:sz w:val="24"/>
        </w:rPr>
        <w:t>[emphasis added].</w:t>
      </w:r>
      <w:r>
        <w:rPr>
          <w:sz w:val="24"/>
        </w:rPr>
        <w:t xml:space="preserve">  </w:t>
      </w:r>
    </w:p>
    <w:p w:rsidR="002121C8" w:rsidRDefault="002121C8" w:rsidP="002121C8">
      <w:pPr>
        <w:ind w:left="1440" w:right="720" w:hanging="1440"/>
        <w:jc w:val="both"/>
        <w:rPr>
          <w:sz w:val="24"/>
        </w:rPr>
      </w:pPr>
    </w:p>
    <w:p w:rsidR="002121C8" w:rsidRDefault="002121C8" w:rsidP="009D5157">
      <w:pPr>
        <w:spacing w:line="480" w:lineRule="exact"/>
        <w:ind w:left="720" w:right="360" w:hanging="720"/>
        <w:jc w:val="both"/>
        <w:rPr>
          <w:sz w:val="24"/>
        </w:rPr>
      </w:pPr>
      <w:r>
        <w:rPr>
          <w:sz w:val="24"/>
        </w:rPr>
        <w:tab/>
      </w:r>
      <w:r w:rsidR="002E67C7">
        <w:rPr>
          <w:sz w:val="24"/>
        </w:rPr>
        <w:t xml:space="preserve">CEHE’s response went on to describe a number of policies that CEHE follows in complying with the </w:t>
      </w:r>
      <w:r w:rsidR="00D1601F">
        <w:rPr>
          <w:sz w:val="24"/>
        </w:rPr>
        <w:t>provisions</w:t>
      </w:r>
      <w:r w:rsidR="002E67C7">
        <w:rPr>
          <w:sz w:val="24"/>
        </w:rPr>
        <w:t xml:space="preserve"> of PURA and </w:t>
      </w:r>
      <w:r w:rsidR="00D1601F">
        <w:rPr>
          <w:sz w:val="24"/>
        </w:rPr>
        <w:t xml:space="preserve">the requirements of the </w:t>
      </w:r>
      <w:r w:rsidR="002E67C7">
        <w:rPr>
          <w:sz w:val="24"/>
        </w:rPr>
        <w:t xml:space="preserve">Commission.  </w:t>
      </w:r>
      <w:r w:rsidR="00D44EE0">
        <w:rPr>
          <w:sz w:val="24"/>
        </w:rPr>
        <w:t xml:space="preserve">My workpapers include a copy of </w:t>
      </w:r>
      <w:r>
        <w:rPr>
          <w:sz w:val="24"/>
        </w:rPr>
        <w:t xml:space="preserve">CEHE’s response </w:t>
      </w:r>
      <w:r w:rsidR="002E67C7">
        <w:rPr>
          <w:sz w:val="24"/>
        </w:rPr>
        <w:t>in its entirety</w:t>
      </w:r>
      <w:r>
        <w:rPr>
          <w:sz w:val="24"/>
        </w:rPr>
        <w:t xml:space="preserve">.  </w:t>
      </w:r>
    </w:p>
    <w:p w:rsidR="002121C8" w:rsidRDefault="002121C8" w:rsidP="009D5157">
      <w:pPr>
        <w:spacing w:line="480" w:lineRule="exact"/>
        <w:ind w:left="720" w:right="360" w:hanging="720"/>
        <w:jc w:val="both"/>
        <w:rPr>
          <w:sz w:val="24"/>
        </w:rPr>
      </w:pPr>
    </w:p>
    <w:p w:rsidR="001B5229" w:rsidRDefault="001B5229" w:rsidP="002A774A">
      <w:pPr>
        <w:ind w:left="1440" w:right="360" w:hanging="720"/>
        <w:jc w:val="both"/>
        <w:rPr>
          <w:b/>
          <w:sz w:val="24"/>
          <w:u w:val="single"/>
        </w:rPr>
      </w:pPr>
    </w:p>
    <w:p w:rsidR="00B35256" w:rsidRPr="00DA0F70" w:rsidRDefault="001D6E34" w:rsidP="002A774A">
      <w:pPr>
        <w:ind w:left="1440" w:right="360" w:hanging="720"/>
        <w:jc w:val="both"/>
        <w:rPr>
          <w:b/>
          <w:sz w:val="24"/>
          <w:u w:val="single"/>
        </w:rPr>
      </w:pPr>
      <w:r w:rsidRPr="00DA0F70">
        <w:rPr>
          <w:b/>
          <w:sz w:val="24"/>
          <w:u w:val="single"/>
        </w:rPr>
        <w:lastRenderedPageBreak/>
        <w:t>I</w:t>
      </w:r>
      <w:r w:rsidR="00830135">
        <w:rPr>
          <w:b/>
          <w:sz w:val="24"/>
          <w:u w:val="single"/>
        </w:rPr>
        <w:t>V</w:t>
      </w:r>
      <w:r w:rsidRPr="00DA0F70">
        <w:rPr>
          <w:b/>
          <w:sz w:val="24"/>
          <w:u w:val="single"/>
        </w:rPr>
        <w:t xml:space="preserve">.  </w:t>
      </w:r>
      <w:r w:rsidR="002A774A">
        <w:rPr>
          <w:b/>
          <w:sz w:val="24"/>
          <w:u w:val="single"/>
        </w:rPr>
        <w:tab/>
      </w:r>
      <w:r w:rsidRPr="00DA0F70">
        <w:rPr>
          <w:b/>
          <w:sz w:val="24"/>
          <w:u w:val="single"/>
        </w:rPr>
        <w:t>RATING AGE</w:t>
      </w:r>
      <w:r w:rsidR="00843868">
        <w:rPr>
          <w:b/>
          <w:sz w:val="24"/>
          <w:u w:val="single"/>
        </w:rPr>
        <w:t>NCY ASSESSMENTS OF CENTERPOINT AND THE IMPACT OF ITS RECENT</w:t>
      </w:r>
      <w:r w:rsidRPr="00DA0F70">
        <w:rPr>
          <w:b/>
          <w:sz w:val="24"/>
          <w:u w:val="single"/>
        </w:rPr>
        <w:t xml:space="preserve"> ACQUISITIONS</w:t>
      </w:r>
    </w:p>
    <w:p w:rsidR="00B35256" w:rsidRPr="001D6E34" w:rsidRDefault="001D6E34" w:rsidP="009D5157">
      <w:pPr>
        <w:spacing w:line="480" w:lineRule="exact"/>
        <w:ind w:left="720" w:right="360" w:hanging="720"/>
        <w:jc w:val="both"/>
        <w:rPr>
          <w:b/>
          <w:sz w:val="24"/>
        </w:rPr>
      </w:pPr>
      <w:r w:rsidRPr="001D6E34">
        <w:rPr>
          <w:b/>
          <w:sz w:val="24"/>
        </w:rPr>
        <w:t>Q.</w:t>
      </w:r>
      <w:r w:rsidRPr="001D6E34">
        <w:rPr>
          <w:b/>
          <w:sz w:val="24"/>
        </w:rPr>
        <w:tab/>
      </w:r>
      <w:r w:rsidR="00F52EB9">
        <w:rPr>
          <w:b/>
          <w:sz w:val="24"/>
        </w:rPr>
        <w:t>W</w:t>
      </w:r>
      <w:r>
        <w:rPr>
          <w:b/>
          <w:sz w:val="24"/>
        </w:rPr>
        <w:t>hat opinions have credit rating agencies such as Standard &amp; Poor’s (S&amp;P), Moody’s Investor Service (Moody’s), and Fitch Ratings (Fitch) expressed</w:t>
      </w:r>
      <w:r w:rsidR="00F52EB9">
        <w:rPr>
          <w:b/>
          <w:sz w:val="24"/>
        </w:rPr>
        <w:t xml:space="preserve"> with regard to CenterPoint’s acquisition of Vectren</w:t>
      </w:r>
      <w:r>
        <w:rPr>
          <w:b/>
          <w:sz w:val="24"/>
        </w:rPr>
        <w:t>?</w:t>
      </w:r>
    </w:p>
    <w:p w:rsidR="00014D3D" w:rsidRDefault="001D6E34" w:rsidP="009D5157">
      <w:pPr>
        <w:spacing w:line="480" w:lineRule="exact"/>
        <w:ind w:left="720" w:right="360" w:hanging="720"/>
        <w:jc w:val="both"/>
        <w:rPr>
          <w:sz w:val="24"/>
        </w:rPr>
      </w:pPr>
      <w:r>
        <w:rPr>
          <w:sz w:val="24"/>
        </w:rPr>
        <w:t>A.</w:t>
      </w:r>
      <w:r>
        <w:rPr>
          <w:sz w:val="24"/>
        </w:rPr>
        <w:tab/>
      </w:r>
      <w:r w:rsidR="00843868">
        <w:rPr>
          <w:sz w:val="24"/>
        </w:rPr>
        <w:t>Recent assessments</w:t>
      </w:r>
      <w:r w:rsidR="00D35C35">
        <w:rPr>
          <w:sz w:val="24"/>
        </w:rPr>
        <w:t xml:space="preserve"> of CenterPoint</w:t>
      </w:r>
      <w:r w:rsidR="00843868">
        <w:rPr>
          <w:sz w:val="24"/>
        </w:rPr>
        <w:t xml:space="preserve"> by the rating agencies</w:t>
      </w:r>
      <w:r w:rsidR="00626AF0">
        <w:rPr>
          <w:sz w:val="24"/>
        </w:rPr>
        <w:t xml:space="preserve"> </w:t>
      </w:r>
      <w:r w:rsidR="00955477">
        <w:rPr>
          <w:sz w:val="24"/>
        </w:rPr>
        <w:t>reflect a combination of pros and cons</w:t>
      </w:r>
      <w:r w:rsidR="001B38F2">
        <w:rPr>
          <w:sz w:val="24"/>
        </w:rPr>
        <w:t xml:space="preserve"> related to the Vectren acquisition</w:t>
      </w:r>
      <w:r>
        <w:rPr>
          <w:sz w:val="24"/>
        </w:rPr>
        <w:t xml:space="preserve">, with </w:t>
      </w:r>
      <w:r w:rsidR="00DF6FD3">
        <w:rPr>
          <w:sz w:val="24"/>
        </w:rPr>
        <w:t xml:space="preserve">the agencies’ </w:t>
      </w:r>
      <w:r w:rsidR="003A6EEA">
        <w:rPr>
          <w:sz w:val="24"/>
        </w:rPr>
        <w:t>comments</w:t>
      </w:r>
      <w:r>
        <w:rPr>
          <w:sz w:val="24"/>
        </w:rPr>
        <w:t xml:space="preserve"> noting</w:t>
      </w:r>
      <w:r w:rsidR="006E753F">
        <w:rPr>
          <w:sz w:val="24"/>
        </w:rPr>
        <w:t xml:space="preserve"> </w:t>
      </w:r>
      <w:r w:rsidR="00227259">
        <w:rPr>
          <w:sz w:val="24"/>
        </w:rPr>
        <w:t xml:space="preserve">that the acquisition </w:t>
      </w:r>
      <w:r w:rsidR="00205BB0">
        <w:rPr>
          <w:sz w:val="24"/>
        </w:rPr>
        <w:t>has</w:t>
      </w:r>
      <w:r w:rsidR="00227259">
        <w:rPr>
          <w:sz w:val="24"/>
        </w:rPr>
        <w:t xml:space="preserve"> certain </w:t>
      </w:r>
      <w:r w:rsidR="00955477">
        <w:rPr>
          <w:sz w:val="24"/>
        </w:rPr>
        <w:t>beneficial aspects</w:t>
      </w:r>
      <w:r w:rsidR="00227259">
        <w:rPr>
          <w:sz w:val="24"/>
        </w:rPr>
        <w:t xml:space="preserve">—for example, </w:t>
      </w:r>
      <w:r w:rsidR="00205BB0">
        <w:rPr>
          <w:sz w:val="24"/>
        </w:rPr>
        <w:t xml:space="preserve">it provides a degree of </w:t>
      </w:r>
      <w:r w:rsidR="00227259">
        <w:rPr>
          <w:sz w:val="24"/>
        </w:rPr>
        <w:t>greater diversification—</w:t>
      </w:r>
      <w:r>
        <w:rPr>
          <w:sz w:val="24"/>
        </w:rPr>
        <w:t xml:space="preserve">but </w:t>
      </w:r>
      <w:r w:rsidR="00D17A0F">
        <w:rPr>
          <w:sz w:val="24"/>
        </w:rPr>
        <w:t xml:space="preserve">with </w:t>
      </w:r>
      <w:r>
        <w:rPr>
          <w:sz w:val="24"/>
        </w:rPr>
        <w:t xml:space="preserve">other </w:t>
      </w:r>
      <w:r w:rsidR="003A6EEA">
        <w:rPr>
          <w:sz w:val="24"/>
        </w:rPr>
        <w:t>comments</w:t>
      </w:r>
      <w:r>
        <w:rPr>
          <w:sz w:val="24"/>
        </w:rPr>
        <w:t xml:space="preserve"> expressing concern</w:t>
      </w:r>
      <w:r w:rsidR="006E753F">
        <w:rPr>
          <w:sz w:val="24"/>
        </w:rPr>
        <w:t xml:space="preserve">s, such as </w:t>
      </w:r>
      <w:r>
        <w:rPr>
          <w:sz w:val="24"/>
        </w:rPr>
        <w:t xml:space="preserve">the use of </w:t>
      </w:r>
      <w:r w:rsidR="00FE2188">
        <w:rPr>
          <w:sz w:val="24"/>
        </w:rPr>
        <w:t>excessive</w:t>
      </w:r>
      <w:r>
        <w:rPr>
          <w:sz w:val="24"/>
        </w:rPr>
        <w:t xml:space="preserve"> leverage (</w:t>
      </w:r>
      <w:r w:rsidR="00FE2188">
        <w:rPr>
          <w:sz w:val="24"/>
        </w:rPr>
        <w:t xml:space="preserve">i.e., </w:t>
      </w:r>
      <w:r>
        <w:rPr>
          <w:sz w:val="24"/>
        </w:rPr>
        <w:t xml:space="preserve">debt financing) resulting from the </w:t>
      </w:r>
      <w:r w:rsidR="001B38F2">
        <w:rPr>
          <w:sz w:val="24"/>
        </w:rPr>
        <w:t>transaction</w:t>
      </w:r>
      <w:r>
        <w:rPr>
          <w:sz w:val="24"/>
        </w:rPr>
        <w:t>.</w:t>
      </w:r>
    </w:p>
    <w:p w:rsidR="003A6EEA" w:rsidRDefault="001D6E34" w:rsidP="009D5157">
      <w:pPr>
        <w:spacing w:line="480" w:lineRule="exact"/>
        <w:ind w:left="720" w:right="360" w:hanging="720"/>
        <w:jc w:val="both"/>
        <w:rPr>
          <w:sz w:val="24"/>
        </w:rPr>
      </w:pPr>
      <w:r>
        <w:rPr>
          <w:sz w:val="24"/>
        </w:rPr>
        <w:tab/>
      </w:r>
      <w:r>
        <w:rPr>
          <w:sz w:val="24"/>
        </w:rPr>
        <w:tab/>
        <w:t xml:space="preserve">For example, </w:t>
      </w:r>
      <w:r w:rsidR="003A6EEA">
        <w:rPr>
          <w:sz w:val="24"/>
        </w:rPr>
        <w:t>in a report</w:t>
      </w:r>
      <w:r w:rsidR="000267C6">
        <w:rPr>
          <w:rStyle w:val="FootnoteReference"/>
          <w:sz w:val="24"/>
        </w:rPr>
        <w:footnoteReference w:id="5"/>
      </w:r>
      <w:r w:rsidR="003A6EEA">
        <w:rPr>
          <w:sz w:val="24"/>
        </w:rPr>
        <w:t xml:space="preserve"> dated November 2, 2018, Fitch stated that its ratings of CenterPoint:</w:t>
      </w:r>
    </w:p>
    <w:p w:rsidR="003A6EEA" w:rsidRDefault="003A6EEA" w:rsidP="003A6EEA">
      <w:pPr>
        <w:ind w:left="1440" w:right="720"/>
        <w:jc w:val="both"/>
        <w:rPr>
          <w:sz w:val="24"/>
        </w:rPr>
      </w:pPr>
    </w:p>
    <w:p w:rsidR="001D6E34" w:rsidRDefault="00CD092C" w:rsidP="003A6EEA">
      <w:pPr>
        <w:ind w:left="1440" w:right="720"/>
        <w:jc w:val="both"/>
        <w:rPr>
          <w:sz w:val="24"/>
        </w:rPr>
      </w:pPr>
      <w:r w:rsidRPr="0068745B">
        <w:rPr>
          <w:sz w:val="24"/>
          <w:highlight w:val="black"/>
        </w:rPr>
        <w:t>...</w:t>
      </w:r>
      <w:r w:rsidR="0068745B" w:rsidRPr="0068745B">
        <w:rPr>
          <w:sz w:val="24"/>
          <w:highlight w:val="black"/>
        </w:rPr>
        <w:t>XXXXXXXXXXXXXXXXXXXXXXXXXXXXXXXXXXXXXXXXXXXXXXXXXXXXXXXXXXXXXXXXXXXXXXXXXXXXXXXXXXXXXXXXXXXXXXXXXXXXXXXXXXXXXXXXXXXXXXXXXXXXXXXXXXXXXXXXXXXXXXXXXXXXXXXXXXXXXXXXXXXXXXXXXXXXXXXXXXXXXXXXXXXXXXXXXXXXXXXXXXXXXXXXXX</w:t>
      </w:r>
      <w:r w:rsidR="003A6EEA" w:rsidRPr="0068745B">
        <w:rPr>
          <w:sz w:val="24"/>
          <w:highlight w:val="black"/>
        </w:rPr>
        <w:t>.</w:t>
      </w:r>
      <w:r w:rsidR="003A6EEA">
        <w:rPr>
          <w:sz w:val="24"/>
        </w:rPr>
        <w:t xml:space="preserve">  </w:t>
      </w:r>
    </w:p>
    <w:p w:rsidR="001D6E34" w:rsidRDefault="001D6E34" w:rsidP="00F52EB9">
      <w:pPr>
        <w:ind w:left="720" w:right="360" w:hanging="720"/>
        <w:jc w:val="both"/>
        <w:rPr>
          <w:sz w:val="24"/>
        </w:rPr>
      </w:pPr>
    </w:p>
    <w:p w:rsidR="001A1828" w:rsidRDefault="006B2A7A" w:rsidP="00DF6FD3">
      <w:pPr>
        <w:spacing w:line="480" w:lineRule="exact"/>
        <w:ind w:left="720" w:right="360"/>
        <w:jc w:val="both"/>
        <w:rPr>
          <w:sz w:val="24"/>
        </w:rPr>
      </w:pPr>
      <w:r>
        <w:rPr>
          <w:sz w:val="24"/>
        </w:rPr>
        <w:t xml:space="preserve">Similarly, in </w:t>
      </w:r>
      <w:r w:rsidR="001A1828">
        <w:rPr>
          <w:sz w:val="24"/>
        </w:rPr>
        <w:t xml:space="preserve">a </w:t>
      </w:r>
      <w:r>
        <w:rPr>
          <w:sz w:val="24"/>
        </w:rPr>
        <w:t>January 28, 2019 report, Moody’s</w:t>
      </w:r>
      <w:r w:rsidR="00DF6FD3">
        <w:rPr>
          <w:sz w:val="24"/>
        </w:rPr>
        <w:t xml:space="preserve"> </w:t>
      </w:r>
      <w:r>
        <w:rPr>
          <w:sz w:val="24"/>
        </w:rPr>
        <w:t>discussed</w:t>
      </w:r>
      <w:r w:rsidR="00DF6FD3">
        <w:rPr>
          <w:sz w:val="24"/>
        </w:rPr>
        <w:t xml:space="preserve"> how CenterPoint’s acquisition of Vectren factored into</w:t>
      </w:r>
      <w:r>
        <w:rPr>
          <w:sz w:val="24"/>
        </w:rPr>
        <w:t xml:space="preserve"> its downgrade of CenterPoint’s Issuer Rating and Senior Unsecured </w:t>
      </w:r>
      <w:r w:rsidR="00BB7481">
        <w:rPr>
          <w:sz w:val="24"/>
        </w:rPr>
        <w:t xml:space="preserve">Rating </w:t>
      </w:r>
      <w:r>
        <w:rPr>
          <w:sz w:val="24"/>
        </w:rPr>
        <w:t xml:space="preserve">from Baa1 to Baa2 </w:t>
      </w:r>
      <w:r w:rsidR="00BB7481">
        <w:rPr>
          <w:sz w:val="24"/>
        </w:rPr>
        <w:t xml:space="preserve">and </w:t>
      </w:r>
      <w:r w:rsidR="00D17A0F">
        <w:rPr>
          <w:sz w:val="24"/>
        </w:rPr>
        <w:t>its</w:t>
      </w:r>
      <w:r w:rsidR="001A1828">
        <w:rPr>
          <w:sz w:val="24"/>
        </w:rPr>
        <w:t xml:space="preserve"> downgrade of CenterPoint’s subordinated debt rating from Baa2 to Baa3.</w:t>
      </w:r>
      <w:r w:rsidR="005F4B5F">
        <w:rPr>
          <w:rStyle w:val="FootnoteReference"/>
          <w:sz w:val="24"/>
        </w:rPr>
        <w:footnoteReference w:id="6"/>
      </w:r>
      <w:r w:rsidR="001A1828">
        <w:rPr>
          <w:sz w:val="24"/>
        </w:rPr>
        <w:t xml:space="preserve">  Moody’s stated </w:t>
      </w:r>
      <w:r>
        <w:rPr>
          <w:sz w:val="24"/>
        </w:rPr>
        <w:t>that</w:t>
      </w:r>
      <w:r w:rsidR="001A1828">
        <w:rPr>
          <w:sz w:val="24"/>
        </w:rPr>
        <w:t>:</w:t>
      </w:r>
    </w:p>
    <w:p w:rsidR="001A1828" w:rsidRDefault="001A1828" w:rsidP="001A1828">
      <w:pPr>
        <w:ind w:left="1440" w:right="720"/>
        <w:jc w:val="both"/>
        <w:rPr>
          <w:sz w:val="24"/>
        </w:rPr>
      </w:pPr>
    </w:p>
    <w:p w:rsidR="001A1828" w:rsidRDefault="0068745B" w:rsidP="001A1828">
      <w:pPr>
        <w:ind w:left="1440" w:right="720"/>
        <w:jc w:val="both"/>
        <w:rPr>
          <w:sz w:val="24"/>
        </w:rPr>
      </w:pPr>
      <w:r w:rsidRPr="0068745B">
        <w:rPr>
          <w:sz w:val="24"/>
          <w:highlight w:val="black"/>
        </w:rPr>
        <w:lastRenderedPageBreak/>
        <w:t>.XXXXXXXXXXXXXXXXXXXXXXXXXXXXXXXXXXXXXXXXXXXXXXXXXXXXXXXXXXXXXXXXXXXXXXXXXXXXXXXXXXXXXXXXXXXXXXXXXXX</w:t>
      </w:r>
      <w:r w:rsidR="006B2A7A" w:rsidRPr="0068745B">
        <w:rPr>
          <w:sz w:val="24"/>
          <w:highlight w:val="black"/>
        </w:rPr>
        <w:t>.</w:t>
      </w:r>
      <w:r w:rsidR="006B2A7A">
        <w:rPr>
          <w:sz w:val="24"/>
        </w:rPr>
        <w:t xml:space="preserve">  </w:t>
      </w:r>
    </w:p>
    <w:p w:rsidR="001A1828" w:rsidRDefault="001A1828" w:rsidP="001A1828">
      <w:pPr>
        <w:ind w:left="1440" w:right="720"/>
        <w:jc w:val="both"/>
        <w:rPr>
          <w:sz w:val="24"/>
        </w:rPr>
      </w:pPr>
    </w:p>
    <w:p w:rsidR="001D6E34" w:rsidRDefault="0068745B" w:rsidP="001A1828">
      <w:pPr>
        <w:ind w:left="1440" w:right="720"/>
        <w:jc w:val="both"/>
        <w:rPr>
          <w:sz w:val="24"/>
        </w:rPr>
      </w:pPr>
      <w:r w:rsidRPr="0068745B">
        <w:rPr>
          <w:sz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r w:rsidR="001A1828" w:rsidRPr="0068745B">
        <w:rPr>
          <w:sz w:val="24"/>
          <w:highlight w:val="black"/>
        </w:rPr>
        <w:t>.</w:t>
      </w:r>
    </w:p>
    <w:p w:rsidR="001D6E34" w:rsidRDefault="001D6E34" w:rsidP="00D35C35">
      <w:pPr>
        <w:ind w:left="720" w:right="360" w:hanging="720"/>
        <w:jc w:val="both"/>
        <w:rPr>
          <w:sz w:val="24"/>
        </w:rPr>
      </w:pPr>
    </w:p>
    <w:p w:rsidR="00DB4D84" w:rsidRDefault="00DB4D84" w:rsidP="009D5157">
      <w:pPr>
        <w:spacing w:line="480" w:lineRule="exact"/>
        <w:ind w:left="720" w:right="360" w:hanging="720"/>
        <w:jc w:val="both"/>
        <w:rPr>
          <w:sz w:val="24"/>
        </w:rPr>
      </w:pPr>
      <w:r>
        <w:rPr>
          <w:sz w:val="24"/>
        </w:rPr>
        <w:t xml:space="preserve"> </w:t>
      </w:r>
      <w:r w:rsidR="00DF6FD3">
        <w:rPr>
          <w:sz w:val="24"/>
        </w:rPr>
        <w:tab/>
        <w:t xml:space="preserve">S&amp;P </w:t>
      </w:r>
      <w:r w:rsidR="008B3D16">
        <w:rPr>
          <w:sz w:val="24"/>
        </w:rPr>
        <w:t xml:space="preserve">likewise </w:t>
      </w:r>
      <w:r w:rsidR="00DF6FD3">
        <w:rPr>
          <w:sz w:val="24"/>
        </w:rPr>
        <w:t>downgraded CenterPoint’</w:t>
      </w:r>
      <w:r w:rsidR="00863A9B">
        <w:rPr>
          <w:sz w:val="24"/>
        </w:rPr>
        <w:t xml:space="preserve">s </w:t>
      </w:r>
      <w:r w:rsidR="00DF6FD3">
        <w:rPr>
          <w:sz w:val="24"/>
        </w:rPr>
        <w:t xml:space="preserve">credit rating </w:t>
      </w:r>
      <w:r w:rsidR="008B3D16">
        <w:rPr>
          <w:sz w:val="24"/>
        </w:rPr>
        <w:t xml:space="preserve">because of the impact of the Vectren acquisition, lowering CenterPoint’s issuer credit rating </w:t>
      </w:r>
      <w:r w:rsidR="00DF6FD3">
        <w:rPr>
          <w:sz w:val="24"/>
        </w:rPr>
        <w:t>from A- to BBB+ and</w:t>
      </w:r>
      <w:r w:rsidR="008B3D16">
        <w:rPr>
          <w:sz w:val="24"/>
        </w:rPr>
        <w:t xml:space="preserve"> lowering the rating on senior unsecured and subor</w:t>
      </w:r>
      <w:r w:rsidR="00863A9B">
        <w:rPr>
          <w:sz w:val="24"/>
        </w:rPr>
        <w:t xml:space="preserve">dinated notes from BBB+ to BBB.  </w:t>
      </w:r>
      <w:r w:rsidR="008B3D16">
        <w:rPr>
          <w:sz w:val="24"/>
        </w:rPr>
        <w:t>In a report date</w:t>
      </w:r>
      <w:r w:rsidR="003E079A">
        <w:rPr>
          <w:sz w:val="24"/>
        </w:rPr>
        <w:t>d</w:t>
      </w:r>
      <w:r w:rsidR="008B3D16">
        <w:rPr>
          <w:sz w:val="24"/>
        </w:rPr>
        <w:t xml:space="preserve"> February 1, 2019, S&amp;P stated that:</w:t>
      </w:r>
    </w:p>
    <w:p w:rsidR="008B3D16" w:rsidRDefault="008B3D16" w:rsidP="008B3D16">
      <w:pPr>
        <w:ind w:left="720" w:right="720" w:hanging="720"/>
        <w:jc w:val="both"/>
        <w:rPr>
          <w:sz w:val="24"/>
        </w:rPr>
      </w:pPr>
      <w:r>
        <w:rPr>
          <w:sz w:val="24"/>
        </w:rPr>
        <w:tab/>
      </w:r>
      <w:r>
        <w:rPr>
          <w:sz w:val="24"/>
        </w:rPr>
        <w:tab/>
      </w:r>
    </w:p>
    <w:p w:rsidR="008B3D16" w:rsidRDefault="0068745B" w:rsidP="008B3D16">
      <w:pPr>
        <w:ind w:left="1440" w:right="720"/>
        <w:jc w:val="both"/>
        <w:rPr>
          <w:sz w:val="24"/>
        </w:rPr>
      </w:pPr>
      <w:r w:rsidRPr="0068745B">
        <w:rPr>
          <w:sz w:val="24"/>
          <w:highlight w:val="black"/>
        </w:rPr>
        <w:t>.XXXXXXXXXXXXXXXXXXXXXXXXXXXXXXXXXXXXXXXXXXXXXXXXXXXXXXXXXXXXXXXXXXXXXXXXXXXXXXXXXXXXXXXXXXXXXXXXXXXXXXXXXXXXXXXXXXXXXXXXXXXXXXXXXXXXXXXXXXXXXXXXXXXXXXXXXXXXXXXXXXXXXXXXXXXXXXXXXXXXXXXXXXXXXXXXXXXXXX</w:t>
      </w:r>
      <w:r w:rsidR="008B3D16" w:rsidRPr="0068745B">
        <w:rPr>
          <w:sz w:val="24"/>
          <w:highlight w:val="black"/>
        </w:rPr>
        <w:t>.</w:t>
      </w:r>
    </w:p>
    <w:p w:rsidR="008B3D16" w:rsidRDefault="008B3D16" w:rsidP="008B3D16">
      <w:pPr>
        <w:ind w:left="1440" w:right="720"/>
        <w:jc w:val="both"/>
        <w:rPr>
          <w:sz w:val="24"/>
        </w:rPr>
      </w:pPr>
      <w:r w:rsidRPr="0068745B">
        <w:rPr>
          <w:sz w:val="24"/>
          <w:highlight w:val="black"/>
        </w:rPr>
        <w:t>………..</w:t>
      </w:r>
    </w:p>
    <w:p w:rsidR="00863A9B" w:rsidRDefault="008B3D16" w:rsidP="008B3D16">
      <w:pPr>
        <w:ind w:left="1440" w:right="720" w:hanging="1440"/>
        <w:jc w:val="both"/>
        <w:rPr>
          <w:sz w:val="24"/>
        </w:rPr>
      </w:pPr>
      <w:r>
        <w:rPr>
          <w:sz w:val="24"/>
        </w:rPr>
        <w:tab/>
      </w:r>
      <w:r w:rsidR="0068745B" w:rsidRPr="0068745B">
        <w:rPr>
          <w:sz w:val="24"/>
          <w:highlight w:val="black"/>
        </w:rPr>
        <w:t>.XXXXXXXXXXXXXXXXXXXXXXXXXXXXXXXXXXXXXXXXXXXXXXXXXXXXXXXXXXXXXXXXXXXXXXXXXXXXXXXXXXXXXX</w:t>
      </w:r>
      <w:r w:rsidRPr="0068745B">
        <w:rPr>
          <w:sz w:val="24"/>
          <w:highlight w:val="black"/>
        </w:rPr>
        <w:t>.</w:t>
      </w:r>
      <w:r w:rsidR="0045422D">
        <w:rPr>
          <w:sz w:val="24"/>
        </w:rPr>
        <w:t xml:space="preserve">   </w:t>
      </w:r>
    </w:p>
    <w:p w:rsidR="00205BB0" w:rsidRDefault="00205BB0" w:rsidP="008B3D16">
      <w:pPr>
        <w:ind w:left="1440" w:right="720" w:hanging="1440"/>
        <w:jc w:val="both"/>
        <w:rPr>
          <w:sz w:val="24"/>
        </w:rPr>
      </w:pPr>
    </w:p>
    <w:p w:rsidR="008B3D16" w:rsidRDefault="00863A9B" w:rsidP="009D5157">
      <w:pPr>
        <w:spacing w:line="480" w:lineRule="exact"/>
        <w:ind w:left="720" w:right="360" w:hanging="720"/>
        <w:jc w:val="both"/>
        <w:rPr>
          <w:sz w:val="24"/>
        </w:rPr>
      </w:pPr>
      <w:r>
        <w:rPr>
          <w:sz w:val="24"/>
        </w:rPr>
        <w:tab/>
      </w:r>
      <w:r w:rsidR="00436D39">
        <w:rPr>
          <w:sz w:val="24"/>
        </w:rPr>
        <w:t>I would additionally note that, i</w:t>
      </w:r>
      <w:r>
        <w:rPr>
          <w:sz w:val="24"/>
        </w:rPr>
        <w:t xml:space="preserve">n that same report, S&amp;P lowered CEHE’s issuer credit rating from A- to BBB+.  </w:t>
      </w:r>
    </w:p>
    <w:p w:rsidR="00A06DD6" w:rsidRDefault="00A06DD6" w:rsidP="000D58BD">
      <w:pPr>
        <w:ind w:left="720" w:right="360" w:hanging="720"/>
        <w:jc w:val="both"/>
        <w:rPr>
          <w:sz w:val="24"/>
        </w:rPr>
      </w:pPr>
    </w:p>
    <w:p w:rsidR="00676DF9" w:rsidRPr="00676DF9" w:rsidRDefault="00676DF9" w:rsidP="009D5157">
      <w:pPr>
        <w:spacing w:line="480" w:lineRule="exact"/>
        <w:ind w:left="720" w:right="360" w:hanging="720"/>
        <w:jc w:val="both"/>
        <w:rPr>
          <w:b/>
          <w:sz w:val="24"/>
        </w:rPr>
      </w:pPr>
      <w:r w:rsidRPr="00676DF9">
        <w:rPr>
          <w:b/>
          <w:sz w:val="24"/>
        </w:rPr>
        <w:t>Q.</w:t>
      </w:r>
      <w:r w:rsidRPr="00676DF9">
        <w:rPr>
          <w:b/>
          <w:sz w:val="24"/>
        </w:rPr>
        <w:tab/>
        <w:t xml:space="preserve">What do you believe is </w:t>
      </w:r>
      <w:r w:rsidR="00D17A0F">
        <w:rPr>
          <w:b/>
          <w:sz w:val="24"/>
        </w:rPr>
        <w:t>the</w:t>
      </w:r>
      <w:r w:rsidRPr="00676DF9">
        <w:rPr>
          <w:b/>
          <w:sz w:val="24"/>
        </w:rPr>
        <w:t xml:space="preserve"> key takeaway from the above info?</w:t>
      </w:r>
    </w:p>
    <w:p w:rsidR="00676DF9" w:rsidRDefault="00676DF9" w:rsidP="009D5157">
      <w:pPr>
        <w:spacing w:line="480" w:lineRule="exact"/>
        <w:ind w:left="720" w:right="360" w:hanging="720"/>
        <w:jc w:val="both"/>
        <w:rPr>
          <w:sz w:val="24"/>
        </w:rPr>
      </w:pPr>
      <w:r>
        <w:rPr>
          <w:sz w:val="24"/>
        </w:rPr>
        <w:t>A.</w:t>
      </w:r>
      <w:r>
        <w:rPr>
          <w:sz w:val="24"/>
        </w:rPr>
        <w:tab/>
        <w:t>The ratings actions and commentary from each of the three major credit rating agencies illustrate the basic point that the transactions, business, operations, and leveraging activities of a parent company and its subsidiaries can</w:t>
      </w:r>
      <w:r w:rsidR="00E2107C">
        <w:rPr>
          <w:sz w:val="24"/>
        </w:rPr>
        <w:t xml:space="preserve"> have wide-ranging effects, not </w:t>
      </w:r>
      <w:r w:rsidR="00E2107C">
        <w:rPr>
          <w:sz w:val="24"/>
        </w:rPr>
        <w:lastRenderedPageBreak/>
        <w:t xml:space="preserve">only on </w:t>
      </w:r>
      <w:r>
        <w:rPr>
          <w:sz w:val="24"/>
        </w:rPr>
        <w:t xml:space="preserve">the credit profile and financial exposure of </w:t>
      </w:r>
      <w:r w:rsidR="00E2107C">
        <w:rPr>
          <w:sz w:val="24"/>
        </w:rPr>
        <w:t xml:space="preserve">the parent, but on </w:t>
      </w:r>
      <w:r>
        <w:rPr>
          <w:sz w:val="24"/>
        </w:rPr>
        <w:t>regulated utility</w:t>
      </w:r>
      <w:r w:rsidR="005232BB">
        <w:rPr>
          <w:sz w:val="24"/>
        </w:rPr>
        <w:t xml:space="preserve"> affiliate</w:t>
      </w:r>
      <w:r w:rsidR="00E2107C">
        <w:rPr>
          <w:sz w:val="24"/>
        </w:rPr>
        <w:t>s as well</w:t>
      </w:r>
      <w:r>
        <w:rPr>
          <w:sz w:val="24"/>
        </w:rPr>
        <w:t xml:space="preserve">.  </w:t>
      </w:r>
      <w:r w:rsidR="003F3498">
        <w:rPr>
          <w:sz w:val="24"/>
        </w:rPr>
        <w:t xml:space="preserve">This, in turn, can affect </w:t>
      </w:r>
      <w:r w:rsidR="005232BB">
        <w:rPr>
          <w:sz w:val="24"/>
        </w:rPr>
        <w:t xml:space="preserve">certain of the regulated utility’s </w:t>
      </w:r>
      <w:r w:rsidR="003F3498">
        <w:rPr>
          <w:sz w:val="24"/>
        </w:rPr>
        <w:t xml:space="preserve">rate-related </w:t>
      </w:r>
      <w:r w:rsidR="00BF14D5">
        <w:rPr>
          <w:sz w:val="24"/>
        </w:rPr>
        <w:t>elements</w:t>
      </w:r>
      <w:r w:rsidR="005232BB">
        <w:rPr>
          <w:sz w:val="24"/>
        </w:rPr>
        <w:t xml:space="preserve"> </w:t>
      </w:r>
      <w:r w:rsidR="003F3498">
        <w:rPr>
          <w:sz w:val="24"/>
        </w:rPr>
        <w:t>such as capital structure and cost of capital (both equity costs and debt costs).</w:t>
      </w:r>
      <w:r w:rsidR="005232BB">
        <w:rPr>
          <w:sz w:val="24"/>
        </w:rPr>
        <w:t xml:space="preserve">  If these circumstances lead to </w:t>
      </w:r>
      <w:r w:rsidR="00D17A0F">
        <w:rPr>
          <w:sz w:val="24"/>
        </w:rPr>
        <w:t xml:space="preserve">a </w:t>
      </w:r>
      <w:r w:rsidR="005232BB">
        <w:rPr>
          <w:sz w:val="24"/>
        </w:rPr>
        <w:t xml:space="preserve">higher cost of providing service </w:t>
      </w:r>
      <w:r w:rsidR="00D17A0F">
        <w:rPr>
          <w:sz w:val="24"/>
        </w:rPr>
        <w:t xml:space="preserve">for the </w:t>
      </w:r>
      <w:r w:rsidR="005232BB">
        <w:rPr>
          <w:sz w:val="24"/>
        </w:rPr>
        <w:t xml:space="preserve">regulated utility, </w:t>
      </w:r>
      <w:r w:rsidR="00D17A0F">
        <w:rPr>
          <w:sz w:val="24"/>
        </w:rPr>
        <w:t xml:space="preserve">it is </w:t>
      </w:r>
      <w:r w:rsidR="00436D39">
        <w:rPr>
          <w:sz w:val="24"/>
        </w:rPr>
        <w:t>possible—or likely—</w:t>
      </w:r>
      <w:r w:rsidR="00D17A0F">
        <w:rPr>
          <w:sz w:val="24"/>
        </w:rPr>
        <w:t xml:space="preserve">that the utility in its next rate proceeding </w:t>
      </w:r>
      <w:r w:rsidR="005E16DE">
        <w:rPr>
          <w:sz w:val="24"/>
        </w:rPr>
        <w:t>will</w:t>
      </w:r>
      <w:r w:rsidR="00D17A0F">
        <w:rPr>
          <w:sz w:val="24"/>
        </w:rPr>
        <w:t xml:space="preserve"> request that </w:t>
      </w:r>
      <w:r w:rsidR="005232BB">
        <w:rPr>
          <w:sz w:val="24"/>
        </w:rPr>
        <w:t xml:space="preserve">ratepayers </w:t>
      </w:r>
      <w:r w:rsidR="00BF14D5">
        <w:rPr>
          <w:sz w:val="24"/>
        </w:rPr>
        <w:t>bear</w:t>
      </w:r>
      <w:r w:rsidR="005232BB">
        <w:rPr>
          <w:sz w:val="24"/>
        </w:rPr>
        <w:t xml:space="preserve"> the higher costs.  Accordingly, </w:t>
      </w:r>
      <w:r w:rsidR="00D17A0F">
        <w:rPr>
          <w:sz w:val="24"/>
        </w:rPr>
        <w:t xml:space="preserve">in the course of a rate </w:t>
      </w:r>
      <w:r w:rsidR="005E16DE">
        <w:rPr>
          <w:sz w:val="24"/>
        </w:rPr>
        <w:t>case</w:t>
      </w:r>
      <w:r w:rsidR="00D17A0F">
        <w:rPr>
          <w:sz w:val="24"/>
        </w:rPr>
        <w:t xml:space="preserve">, when the Commission reviews a utility’s financial risk as part of its fundamental task of establishing just and reasonable rates, pre-emptive </w:t>
      </w:r>
      <w:r w:rsidR="005232BB">
        <w:rPr>
          <w:sz w:val="24"/>
        </w:rPr>
        <w:t>Commission actions</w:t>
      </w:r>
      <w:r w:rsidR="00C05D06">
        <w:rPr>
          <w:sz w:val="24"/>
        </w:rPr>
        <w:t xml:space="preserve"> (</w:t>
      </w:r>
      <w:r w:rsidR="005232BB">
        <w:rPr>
          <w:sz w:val="24"/>
        </w:rPr>
        <w:t>such as requiring the utility to implement protective ring-fencing mechanisms</w:t>
      </w:r>
      <w:r w:rsidR="00C05D06">
        <w:rPr>
          <w:sz w:val="24"/>
        </w:rPr>
        <w:t xml:space="preserve">) </w:t>
      </w:r>
      <w:r w:rsidR="005232BB">
        <w:rPr>
          <w:sz w:val="24"/>
        </w:rPr>
        <w:t>that help insulate a regulated utility company from possible financial</w:t>
      </w:r>
      <w:r w:rsidR="00835E6F">
        <w:rPr>
          <w:sz w:val="24"/>
        </w:rPr>
        <w:t>-stress</w:t>
      </w:r>
      <w:r w:rsidR="00E2107C">
        <w:rPr>
          <w:sz w:val="24"/>
        </w:rPr>
        <w:t xml:space="preserve"> contagion are</w:t>
      </w:r>
      <w:r w:rsidR="005232BB">
        <w:rPr>
          <w:sz w:val="24"/>
        </w:rPr>
        <w:t xml:space="preserve"> entirely</w:t>
      </w:r>
      <w:r w:rsidR="00F57DEC">
        <w:rPr>
          <w:sz w:val="24"/>
        </w:rPr>
        <w:t>—</w:t>
      </w:r>
      <w:r w:rsidR="00D17A0F">
        <w:rPr>
          <w:sz w:val="24"/>
        </w:rPr>
        <w:t>and appropriately</w:t>
      </w:r>
      <w:r w:rsidR="00F57DEC">
        <w:rPr>
          <w:sz w:val="24"/>
        </w:rPr>
        <w:t>—</w:t>
      </w:r>
      <w:r w:rsidR="005232BB">
        <w:rPr>
          <w:sz w:val="24"/>
        </w:rPr>
        <w:t xml:space="preserve">within the Commission’s </w:t>
      </w:r>
      <w:r w:rsidR="00472299">
        <w:rPr>
          <w:sz w:val="24"/>
        </w:rPr>
        <w:t>responsibility and authority.</w:t>
      </w:r>
    </w:p>
    <w:p w:rsidR="00676DF9" w:rsidRDefault="00676DF9" w:rsidP="009D5157">
      <w:pPr>
        <w:spacing w:line="480" w:lineRule="exact"/>
        <w:ind w:left="720" w:right="360" w:hanging="720"/>
        <w:jc w:val="both"/>
        <w:rPr>
          <w:sz w:val="24"/>
        </w:rPr>
      </w:pPr>
    </w:p>
    <w:p w:rsidR="003C51EE" w:rsidRPr="004563BD" w:rsidRDefault="00C338B8" w:rsidP="002A774A">
      <w:pPr>
        <w:ind w:left="1440" w:right="360" w:hanging="720"/>
        <w:jc w:val="both"/>
        <w:rPr>
          <w:b/>
          <w:sz w:val="24"/>
          <w:u w:val="single"/>
        </w:rPr>
      </w:pPr>
      <w:r>
        <w:rPr>
          <w:b/>
          <w:sz w:val="24"/>
          <w:u w:val="single"/>
        </w:rPr>
        <w:t xml:space="preserve">V.  </w:t>
      </w:r>
      <w:r w:rsidR="002A774A">
        <w:rPr>
          <w:b/>
          <w:sz w:val="24"/>
          <w:u w:val="single"/>
        </w:rPr>
        <w:tab/>
      </w:r>
      <w:r>
        <w:rPr>
          <w:b/>
          <w:sz w:val="24"/>
          <w:u w:val="single"/>
        </w:rPr>
        <w:t>CEHE’S EXISTING POLICIES</w:t>
      </w:r>
      <w:r w:rsidR="00591FD3">
        <w:rPr>
          <w:b/>
          <w:sz w:val="24"/>
          <w:u w:val="single"/>
        </w:rPr>
        <w:t xml:space="preserve"> THAT PROVIDE A DEGREE OF </w:t>
      </w:r>
      <w:r>
        <w:rPr>
          <w:b/>
          <w:sz w:val="24"/>
          <w:u w:val="single"/>
        </w:rPr>
        <w:t>SEPARATION FROM CENTERPOINT</w:t>
      </w:r>
    </w:p>
    <w:p w:rsidR="004563BD" w:rsidRPr="004563BD" w:rsidRDefault="004563BD" w:rsidP="009D5157">
      <w:pPr>
        <w:spacing w:line="480" w:lineRule="exact"/>
        <w:ind w:left="720" w:right="360" w:hanging="720"/>
        <w:jc w:val="both"/>
        <w:rPr>
          <w:b/>
          <w:sz w:val="24"/>
        </w:rPr>
      </w:pPr>
      <w:r w:rsidRPr="004563BD">
        <w:rPr>
          <w:b/>
          <w:sz w:val="24"/>
        </w:rPr>
        <w:t>Q.</w:t>
      </w:r>
      <w:r w:rsidRPr="004563BD">
        <w:rPr>
          <w:b/>
          <w:sz w:val="24"/>
        </w:rPr>
        <w:tab/>
      </w:r>
      <w:r w:rsidR="00815888">
        <w:rPr>
          <w:b/>
          <w:sz w:val="24"/>
        </w:rPr>
        <w:t>Has</w:t>
      </w:r>
      <w:r w:rsidRPr="004563BD">
        <w:rPr>
          <w:b/>
          <w:sz w:val="24"/>
        </w:rPr>
        <w:t xml:space="preserve"> CEHE </w:t>
      </w:r>
      <w:r w:rsidR="00815888">
        <w:rPr>
          <w:b/>
          <w:sz w:val="24"/>
        </w:rPr>
        <w:t xml:space="preserve">provided information indicating that </w:t>
      </w:r>
      <w:r w:rsidR="00591FD3">
        <w:rPr>
          <w:b/>
          <w:sz w:val="24"/>
        </w:rPr>
        <w:tab/>
        <w:t xml:space="preserve">it </w:t>
      </w:r>
      <w:r w:rsidR="00815888">
        <w:rPr>
          <w:b/>
          <w:sz w:val="24"/>
        </w:rPr>
        <w:t xml:space="preserve">already </w:t>
      </w:r>
      <w:r w:rsidRPr="004563BD">
        <w:rPr>
          <w:b/>
          <w:sz w:val="24"/>
        </w:rPr>
        <w:t>follow</w:t>
      </w:r>
      <w:r w:rsidR="00815888">
        <w:rPr>
          <w:b/>
          <w:sz w:val="24"/>
        </w:rPr>
        <w:t>s a number of policies</w:t>
      </w:r>
      <w:r w:rsidRPr="004563BD">
        <w:rPr>
          <w:b/>
          <w:sz w:val="24"/>
        </w:rPr>
        <w:t xml:space="preserve"> with regard to maintaining a separation from CenterPoint and other affiliates of CenterPoint?</w:t>
      </w:r>
    </w:p>
    <w:p w:rsidR="004563BD" w:rsidRDefault="004563BD" w:rsidP="009D5157">
      <w:pPr>
        <w:spacing w:line="480" w:lineRule="exact"/>
        <w:ind w:left="720" w:right="360" w:hanging="720"/>
        <w:jc w:val="both"/>
        <w:rPr>
          <w:sz w:val="24"/>
        </w:rPr>
      </w:pPr>
      <w:r>
        <w:rPr>
          <w:sz w:val="24"/>
        </w:rPr>
        <w:t>A.</w:t>
      </w:r>
      <w:r>
        <w:rPr>
          <w:sz w:val="24"/>
        </w:rPr>
        <w:tab/>
      </w:r>
      <w:r w:rsidR="00815888">
        <w:rPr>
          <w:sz w:val="24"/>
        </w:rPr>
        <w:t xml:space="preserve">Yes.  </w:t>
      </w:r>
      <w:r>
        <w:rPr>
          <w:sz w:val="24"/>
        </w:rPr>
        <w:t>In response to a number of discovery requests</w:t>
      </w:r>
      <w:r w:rsidR="003B70F0">
        <w:rPr>
          <w:sz w:val="24"/>
        </w:rPr>
        <w:t xml:space="preserve"> in this proceeding</w:t>
      </w:r>
      <w:r>
        <w:rPr>
          <w:sz w:val="24"/>
        </w:rPr>
        <w:t xml:space="preserve">, CEHE provided information </w:t>
      </w:r>
      <w:r w:rsidR="00E07A30">
        <w:rPr>
          <w:sz w:val="24"/>
        </w:rPr>
        <w:t>demonstrating</w:t>
      </w:r>
      <w:r>
        <w:rPr>
          <w:sz w:val="24"/>
        </w:rPr>
        <w:t xml:space="preserve"> that, in some respects, it </w:t>
      </w:r>
      <w:r w:rsidR="00815888">
        <w:rPr>
          <w:sz w:val="24"/>
        </w:rPr>
        <w:t xml:space="preserve">already </w:t>
      </w:r>
      <w:r>
        <w:rPr>
          <w:sz w:val="24"/>
        </w:rPr>
        <w:t xml:space="preserve">maintains a degree of isolation from </w:t>
      </w:r>
      <w:r w:rsidR="00E13A87">
        <w:rPr>
          <w:sz w:val="24"/>
        </w:rPr>
        <w:t xml:space="preserve">CenterPoint and </w:t>
      </w:r>
      <w:r>
        <w:rPr>
          <w:sz w:val="24"/>
        </w:rPr>
        <w:t xml:space="preserve">other affiliates.  For example, CEHE </w:t>
      </w:r>
      <w:r w:rsidR="00591FD3">
        <w:rPr>
          <w:sz w:val="24"/>
        </w:rPr>
        <w:t xml:space="preserve">has </w:t>
      </w:r>
      <w:r>
        <w:rPr>
          <w:sz w:val="24"/>
        </w:rPr>
        <w:t>indicated that:</w:t>
      </w:r>
    </w:p>
    <w:p w:rsidR="00F26FDD" w:rsidRDefault="00F26FDD" w:rsidP="00F26FDD">
      <w:pPr>
        <w:pStyle w:val="ListParagraph"/>
        <w:ind w:left="1440" w:right="720"/>
        <w:jc w:val="both"/>
      </w:pPr>
    </w:p>
    <w:p w:rsidR="004563BD" w:rsidRDefault="003B70F0" w:rsidP="00F26FDD">
      <w:pPr>
        <w:pStyle w:val="ListParagraph"/>
        <w:numPr>
          <w:ilvl w:val="1"/>
          <w:numId w:val="31"/>
        </w:numPr>
        <w:ind w:right="720"/>
        <w:jc w:val="both"/>
      </w:pPr>
      <w:r w:rsidRPr="00F26FDD">
        <w:t>CEHE’s credit agreements and indentures do not contain cross default provisions by which a default by CenterPoint or its other affiliates would cause a default at CEHE;</w:t>
      </w:r>
      <w:r>
        <w:rPr>
          <w:rStyle w:val="FootnoteReference"/>
        </w:rPr>
        <w:footnoteReference w:id="7"/>
      </w:r>
    </w:p>
    <w:p w:rsidR="00F26FDD" w:rsidRPr="00F26FDD" w:rsidRDefault="00F26FDD" w:rsidP="00F26FDD">
      <w:pPr>
        <w:pStyle w:val="ListParagraph"/>
        <w:ind w:left="1440" w:right="720"/>
        <w:jc w:val="both"/>
      </w:pPr>
    </w:p>
    <w:p w:rsidR="003B70F0" w:rsidRDefault="003B70F0" w:rsidP="00F26FDD">
      <w:pPr>
        <w:pStyle w:val="ListParagraph"/>
        <w:numPr>
          <w:ilvl w:val="1"/>
          <w:numId w:val="31"/>
        </w:numPr>
        <w:ind w:right="720"/>
        <w:jc w:val="both"/>
      </w:pPr>
      <w:r w:rsidRPr="00F26FDD">
        <w:t>The financial covenant in CEHE’s credit agreement is not related to any entity other than CEHE;</w:t>
      </w:r>
      <w:r>
        <w:rPr>
          <w:rStyle w:val="FootnoteReference"/>
        </w:rPr>
        <w:footnoteReference w:id="8"/>
      </w:r>
    </w:p>
    <w:p w:rsidR="00F26FDD" w:rsidRPr="00F26FDD" w:rsidRDefault="00F26FDD" w:rsidP="00F26FDD">
      <w:pPr>
        <w:pStyle w:val="ListParagraph"/>
        <w:ind w:left="1440" w:right="720"/>
        <w:jc w:val="both"/>
      </w:pPr>
    </w:p>
    <w:p w:rsidR="003B70F0" w:rsidRDefault="003B70F0" w:rsidP="00F26FDD">
      <w:pPr>
        <w:pStyle w:val="ListParagraph"/>
        <w:numPr>
          <w:ilvl w:val="1"/>
          <w:numId w:val="31"/>
        </w:numPr>
        <w:ind w:right="720"/>
        <w:jc w:val="both"/>
      </w:pPr>
      <w:r w:rsidRPr="00F26FDD">
        <w:t>CEHE has not pledged its assets in respect of or guaranteed any debt or obligation of any of its affiliates or CenterPoint; per the terms of CEHE’s credit agreement, it i</w:t>
      </w:r>
      <w:r w:rsidR="00E54472" w:rsidRPr="00F26FDD">
        <w:t>s prohibited from pledging, mortg</w:t>
      </w:r>
      <w:r w:rsidRPr="00F26FDD">
        <w:t>agin</w:t>
      </w:r>
      <w:r w:rsidR="00E54472" w:rsidRPr="00F26FDD">
        <w:t>g</w:t>
      </w:r>
      <w:r w:rsidRPr="00F26FDD">
        <w:t xml:space="preserve">, hypothecating, </w:t>
      </w:r>
      <w:r w:rsidRPr="00F26FDD">
        <w:lastRenderedPageBreak/>
        <w:t>o</w:t>
      </w:r>
      <w:r w:rsidR="00E54472" w:rsidRPr="00F26FDD">
        <w:t>r granting a lien upon the proper</w:t>
      </w:r>
      <w:r w:rsidRPr="00F26FDD">
        <w:t>t</w:t>
      </w:r>
      <w:r w:rsidR="00E54472" w:rsidRPr="00F26FDD">
        <w:t>y</w:t>
      </w:r>
      <w:r w:rsidRPr="00F26FDD">
        <w:t xml:space="preserve"> of CenterPoint with</w:t>
      </w:r>
      <w:r w:rsidR="00E54472" w:rsidRPr="00F26FDD">
        <w:t xml:space="preserve"> only a few exceptions such as the first mortgage and general mortgage;</w:t>
      </w:r>
      <w:r w:rsidR="00E54472">
        <w:rPr>
          <w:rStyle w:val="FootnoteReference"/>
        </w:rPr>
        <w:footnoteReference w:id="9"/>
      </w:r>
    </w:p>
    <w:p w:rsidR="00F26FDD" w:rsidRPr="00F26FDD" w:rsidRDefault="00F26FDD" w:rsidP="00F26FDD">
      <w:pPr>
        <w:pStyle w:val="ListParagraph"/>
        <w:ind w:left="1440" w:right="720"/>
        <w:jc w:val="both"/>
      </w:pPr>
    </w:p>
    <w:p w:rsidR="00664600" w:rsidRDefault="00664600" w:rsidP="00F26FDD">
      <w:pPr>
        <w:pStyle w:val="ListParagraph"/>
        <w:numPr>
          <w:ilvl w:val="1"/>
          <w:numId w:val="31"/>
        </w:numPr>
        <w:ind w:right="720"/>
        <w:jc w:val="both"/>
      </w:pPr>
      <w:r w:rsidRPr="00F26FDD">
        <w:t>CEHE maintains its own stand-alon</w:t>
      </w:r>
      <w:r w:rsidR="00315E49">
        <w:t>e</w:t>
      </w:r>
      <w:r w:rsidRPr="00F26FDD">
        <w:t xml:space="preserve"> credit facility</w:t>
      </w:r>
      <w:r w:rsidR="00610758">
        <w:t>, and CEHE does not share its credit facility with any regulated or unregulated affiliate</w:t>
      </w:r>
      <w:r w:rsidRPr="00F26FDD">
        <w:t>;</w:t>
      </w:r>
      <w:r>
        <w:rPr>
          <w:rStyle w:val="FootnoteReference"/>
        </w:rPr>
        <w:footnoteReference w:id="10"/>
      </w:r>
    </w:p>
    <w:p w:rsidR="00610758" w:rsidRDefault="00610758" w:rsidP="00610758">
      <w:pPr>
        <w:pStyle w:val="ListParagraph"/>
      </w:pPr>
    </w:p>
    <w:p w:rsidR="00610758" w:rsidRDefault="00610758" w:rsidP="00F26FDD">
      <w:pPr>
        <w:pStyle w:val="ListParagraph"/>
        <w:numPr>
          <w:ilvl w:val="1"/>
          <w:numId w:val="31"/>
        </w:numPr>
        <w:ind w:right="720"/>
        <w:jc w:val="both"/>
      </w:pPr>
      <w:r>
        <w:t>CEHE’s first mortgage bonds and general mortgage bonds are secured only with CEHE’s assets;</w:t>
      </w:r>
      <w:r>
        <w:rPr>
          <w:rStyle w:val="FootnoteReference"/>
        </w:rPr>
        <w:footnoteReference w:id="11"/>
      </w:r>
    </w:p>
    <w:p w:rsidR="00610758" w:rsidRDefault="00610758" w:rsidP="00610758">
      <w:pPr>
        <w:pStyle w:val="ListParagraph"/>
      </w:pPr>
    </w:p>
    <w:p w:rsidR="00610758" w:rsidRDefault="00610758" w:rsidP="00F26FDD">
      <w:pPr>
        <w:pStyle w:val="ListParagraph"/>
        <w:numPr>
          <w:ilvl w:val="1"/>
          <w:numId w:val="31"/>
        </w:numPr>
        <w:ind w:right="720"/>
        <w:jc w:val="both"/>
      </w:pPr>
      <w:r>
        <w:t>No CEHE assets secure the debt of CenterPoint or its non-CEHE affiliates;</w:t>
      </w:r>
      <w:r>
        <w:rPr>
          <w:rStyle w:val="FootnoteReference"/>
        </w:rPr>
        <w:footnoteReference w:id="12"/>
      </w:r>
    </w:p>
    <w:p w:rsidR="00F26FDD" w:rsidRPr="00F26FDD" w:rsidRDefault="00F26FDD" w:rsidP="00F26FDD">
      <w:pPr>
        <w:pStyle w:val="ListParagraph"/>
        <w:ind w:left="1440" w:right="720"/>
        <w:jc w:val="both"/>
      </w:pPr>
    </w:p>
    <w:p w:rsidR="001933FB" w:rsidRPr="00F26FDD" w:rsidRDefault="001933FB" w:rsidP="00F26FDD">
      <w:pPr>
        <w:pStyle w:val="ListParagraph"/>
        <w:numPr>
          <w:ilvl w:val="1"/>
          <w:numId w:val="31"/>
        </w:numPr>
        <w:ind w:right="720"/>
        <w:jc w:val="both"/>
      </w:pPr>
      <w:r w:rsidRPr="00F26FDD">
        <w:t>There are no limitations on CEHE’s ability to pay dividends to CenterPoint, except if the dividend would result in a specific</w:t>
      </w:r>
      <w:r w:rsidR="00C53FE5">
        <w:t xml:space="preserve"> indebtedness</w:t>
      </w:r>
      <w:r w:rsidRPr="00F26FDD">
        <w:t xml:space="preserve"> ratio (as defined in CEHE’s </w:t>
      </w:r>
      <w:r w:rsidR="004F00DF">
        <w:t>cr</w:t>
      </w:r>
      <w:r w:rsidRPr="00610758">
        <w:t xml:space="preserve">edit </w:t>
      </w:r>
      <w:r w:rsidR="004F00DF">
        <w:t>a</w:t>
      </w:r>
      <w:r w:rsidRPr="00610758">
        <w:t>greement</w:t>
      </w:r>
      <w:r w:rsidRPr="00F26FDD">
        <w:t>) exceed</w:t>
      </w:r>
      <w:r w:rsidR="00C53FE5">
        <w:t>ing</w:t>
      </w:r>
      <w:r w:rsidRPr="00F26FDD">
        <w:t xml:space="preserve"> 65%.</w:t>
      </w:r>
      <w:r>
        <w:rPr>
          <w:rStyle w:val="FootnoteReference"/>
        </w:rPr>
        <w:footnoteReference w:id="13"/>
      </w:r>
    </w:p>
    <w:p w:rsidR="003B70F0" w:rsidRDefault="003B70F0" w:rsidP="00591FD3">
      <w:pPr>
        <w:ind w:left="720" w:right="360" w:hanging="720"/>
        <w:jc w:val="both"/>
        <w:rPr>
          <w:sz w:val="24"/>
        </w:rPr>
      </w:pPr>
      <w:r>
        <w:rPr>
          <w:sz w:val="24"/>
        </w:rPr>
        <w:tab/>
      </w:r>
    </w:p>
    <w:p w:rsidR="003B70F0" w:rsidRDefault="002C5724" w:rsidP="009D5157">
      <w:pPr>
        <w:spacing w:line="480" w:lineRule="exact"/>
        <w:ind w:left="720" w:right="360" w:hanging="720"/>
        <w:jc w:val="both"/>
        <w:rPr>
          <w:sz w:val="24"/>
        </w:rPr>
      </w:pPr>
      <w:r>
        <w:rPr>
          <w:sz w:val="24"/>
        </w:rPr>
        <w:t>Q.</w:t>
      </w:r>
      <w:r>
        <w:rPr>
          <w:sz w:val="24"/>
        </w:rPr>
        <w:tab/>
      </w:r>
      <w:r w:rsidRPr="002C5724">
        <w:rPr>
          <w:b/>
          <w:sz w:val="24"/>
        </w:rPr>
        <w:t xml:space="preserve">Do you believe the above policies are </w:t>
      </w:r>
      <w:r w:rsidR="00585A21">
        <w:rPr>
          <w:b/>
          <w:sz w:val="24"/>
        </w:rPr>
        <w:t>relevant</w:t>
      </w:r>
      <w:r w:rsidR="00591FD3">
        <w:rPr>
          <w:b/>
          <w:sz w:val="24"/>
        </w:rPr>
        <w:t xml:space="preserve"> to and </w:t>
      </w:r>
      <w:r w:rsidR="00585A21">
        <w:rPr>
          <w:b/>
          <w:sz w:val="24"/>
        </w:rPr>
        <w:t xml:space="preserve">generally </w:t>
      </w:r>
      <w:r w:rsidRPr="002C5724">
        <w:rPr>
          <w:b/>
          <w:sz w:val="24"/>
        </w:rPr>
        <w:t xml:space="preserve">consistent with the objectives of question #9 in the Commission’s </w:t>
      </w:r>
      <w:r w:rsidRPr="00200A1A">
        <w:rPr>
          <w:b/>
          <w:i/>
          <w:sz w:val="24"/>
        </w:rPr>
        <w:t>Preliminary Order</w:t>
      </w:r>
      <w:r w:rsidRPr="002C5724">
        <w:rPr>
          <w:b/>
          <w:sz w:val="24"/>
        </w:rPr>
        <w:t>?</w:t>
      </w:r>
    </w:p>
    <w:p w:rsidR="002C5724" w:rsidRDefault="002C5724" w:rsidP="009D5157">
      <w:pPr>
        <w:spacing w:line="480" w:lineRule="exact"/>
        <w:ind w:left="720" w:right="360" w:hanging="720"/>
        <w:jc w:val="both"/>
        <w:rPr>
          <w:sz w:val="24"/>
        </w:rPr>
      </w:pPr>
      <w:r>
        <w:rPr>
          <w:sz w:val="24"/>
        </w:rPr>
        <w:t>A.</w:t>
      </w:r>
      <w:r>
        <w:rPr>
          <w:sz w:val="24"/>
        </w:rPr>
        <w:tab/>
        <w:t xml:space="preserve">Yes.  CEHE’s existing policies as detailed in the previous question-and-answer provide a </w:t>
      </w:r>
      <w:r w:rsidR="00591FD3">
        <w:rPr>
          <w:sz w:val="24"/>
        </w:rPr>
        <w:t xml:space="preserve">basic </w:t>
      </w:r>
      <w:r>
        <w:rPr>
          <w:sz w:val="24"/>
        </w:rPr>
        <w:t xml:space="preserve">foundation for creating a </w:t>
      </w:r>
      <w:r w:rsidR="00173EEA">
        <w:rPr>
          <w:sz w:val="24"/>
        </w:rPr>
        <w:t>meaningful</w:t>
      </w:r>
      <w:r>
        <w:rPr>
          <w:sz w:val="24"/>
        </w:rPr>
        <w:t xml:space="preserve"> measure of separation from CenterPoint and its other affiliates, and they serve as a platform for any additional requirements the Commission may choose to implement.  </w:t>
      </w:r>
      <w:r w:rsidR="00377494">
        <w:rPr>
          <w:sz w:val="24"/>
        </w:rPr>
        <w:t xml:space="preserve">In the next section of my testimony, I present recommendations for </w:t>
      </w:r>
      <w:r w:rsidR="00EA1053">
        <w:rPr>
          <w:sz w:val="24"/>
        </w:rPr>
        <w:t>such</w:t>
      </w:r>
      <w:r w:rsidR="00377494">
        <w:rPr>
          <w:sz w:val="24"/>
        </w:rPr>
        <w:t xml:space="preserve"> additional measures.</w:t>
      </w:r>
    </w:p>
    <w:p w:rsidR="00166122" w:rsidRDefault="00166122" w:rsidP="00166122">
      <w:pPr>
        <w:spacing w:line="480" w:lineRule="auto"/>
        <w:ind w:left="1440" w:right="360" w:hanging="720"/>
        <w:rPr>
          <w:b/>
          <w:sz w:val="24"/>
          <w:u w:val="single"/>
        </w:rPr>
      </w:pPr>
    </w:p>
    <w:p w:rsidR="001B5229" w:rsidRDefault="001B5229" w:rsidP="002A774A">
      <w:pPr>
        <w:ind w:left="1440" w:right="360" w:hanging="720"/>
        <w:rPr>
          <w:b/>
          <w:sz w:val="24"/>
          <w:u w:val="single"/>
        </w:rPr>
      </w:pPr>
    </w:p>
    <w:p w:rsidR="001B5229" w:rsidRDefault="001B5229" w:rsidP="002A774A">
      <w:pPr>
        <w:ind w:left="1440" w:right="360" w:hanging="720"/>
        <w:rPr>
          <w:b/>
          <w:sz w:val="24"/>
          <w:u w:val="single"/>
        </w:rPr>
      </w:pPr>
    </w:p>
    <w:p w:rsidR="001B5229" w:rsidRDefault="001B5229" w:rsidP="002A774A">
      <w:pPr>
        <w:ind w:left="1440" w:right="360" w:hanging="720"/>
        <w:rPr>
          <w:b/>
          <w:sz w:val="24"/>
          <w:u w:val="single"/>
        </w:rPr>
      </w:pPr>
    </w:p>
    <w:p w:rsidR="001B5229" w:rsidRDefault="001B5229" w:rsidP="002A774A">
      <w:pPr>
        <w:ind w:left="1440" w:right="360" w:hanging="720"/>
        <w:rPr>
          <w:b/>
          <w:sz w:val="24"/>
          <w:u w:val="single"/>
        </w:rPr>
      </w:pPr>
    </w:p>
    <w:p w:rsidR="001B5229" w:rsidRDefault="001B5229" w:rsidP="002A774A">
      <w:pPr>
        <w:ind w:left="1440" w:right="360" w:hanging="720"/>
        <w:rPr>
          <w:b/>
          <w:sz w:val="24"/>
          <w:u w:val="single"/>
        </w:rPr>
      </w:pPr>
    </w:p>
    <w:p w:rsidR="001B5229" w:rsidRDefault="001B5229" w:rsidP="002A774A">
      <w:pPr>
        <w:ind w:left="1440" w:right="360" w:hanging="720"/>
        <w:rPr>
          <w:b/>
          <w:sz w:val="24"/>
          <w:u w:val="single"/>
        </w:rPr>
      </w:pPr>
    </w:p>
    <w:p w:rsidR="00E22303" w:rsidRDefault="00E22303">
      <w:pPr>
        <w:rPr>
          <w:b/>
          <w:sz w:val="24"/>
          <w:u w:val="single"/>
        </w:rPr>
      </w:pPr>
      <w:r>
        <w:rPr>
          <w:b/>
          <w:sz w:val="24"/>
          <w:u w:val="single"/>
        </w:rPr>
        <w:br w:type="page"/>
      </w:r>
    </w:p>
    <w:p w:rsidR="004563BD" w:rsidRPr="007870B4" w:rsidRDefault="002A774A" w:rsidP="002A774A">
      <w:pPr>
        <w:ind w:left="1440" w:right="360" w:hanging="720"/>
        <w:rPr>
          <w:b/>
          <w:sz w:val="24"/>
          <w:u w:val="single"/>
        </w:rPr>
      </w:pPr>
      <w:r>
        <w:rPr>
          <w:b/>
          <w:sz w:val="24"/>
          <w:u w:val="single"/>
        </w:rPr>
        <w:lastRenderedPageBreak/>
        <w:t>V</w:t>
      </w:r>
      <w:r w:rsidR="00830135">
        <w:rPr>
          <w:b/>
          <w:sz w:val="24"/>
          <w:u w:val="single"/>
        </w:rPr>
        <w:t>I</w:t>
      </w:r>
      <w:r>
        <w:rPr>
          <w:b/>
          <w:sz w:val="24"/>
          <w:u w:val="single"/>
        </w:rPr>
        <w:t xml:space="preserve">. </w:t>
      </w:r>
      <w:r>
        <w:rPr>
          <w:b/>
          <w:sz w:val="24"/>
          <w:u w:val="single"/>
        </w:rPr>
        <w:tab/>
      </w:r>
      <w:r w:rsidR="007870B4" w:rsidRPr="007870B4">
        <w:rPr>
          <w:b/>
          <w:sz w:val="24"/>
          <w:u w:val="single"/>
        </w:rPr>
        <w:t>RECOMMENDATIONS FOR ADDITIONAL PROTECTIVE MECHANISMS</w:t>
      </w:r>
    </w:p>
    <w:p w:rsidR="004563BD" w:rsidRPr="007870B4" w:rsidRDefault="007870B4" w:rsidP="009D5157">
      <w:pPr>
        <w:spacing w:line="480" w:lineRule="exact"/>
        <w:ind w:left="720" w:right="360" w:hanging="720"/>
        <w:jc w:val="both"/>
        <w:rPr>
          <w:b/>
          <w:sz w:val="24"/>
        </w:rPr>
      </w:pPr>
      <w:r w:rsidRPr="007870B4">
        <w:rPr>
          <w:b/>
          <w:sz w:val="24"/>
        </w:rPr>
        <w:t>Q.</w:t>
      </w:r>
      <w:r w:rsidRPr="007870B4">
        <w:rPr>
          <w:b/>
          <w:sz w:val="24"/>
        </w:rPr>
        <w:tab/>
      </w:r>
      <w:r>
        <w:rPr>
          <w:b/>
          <w:sz w:val="24"/>
        </w:rPr>
        <w:t xml:space="preserve">In addition to CEHE’s existing </w:t>
      </w:r>
      <w:r w:rsidR="001D29BE">
        <w:rPr>
          <w:b/>
          <w:sz w:val="24"/>
        </w:rPr>
        <w:t>policies</w:t>
      </w:r>
      <w:r>
        <w:rPr>
          <w:b/>
          <w:sz w:val="24"/>
        </w:rPr>
        <w:t xml:space="preserve">, what </w:t>
      </w:r>
      <w:r w:rsidR="004867F1">
        <w:rPr>
          <w:b/>
          <w:sz w:val="24"/>
        </w:rPr>
        <w:t>other</w:t>
      </w:r>
      <w:r>
        <w:rPr>
          <w:b/>
          <w:sz w:val="24"/>
        </w:rPr>
        <w:t xml:space="preserve"> mechanisms do you recommend for purposes of establishing and maintaining for CEHE a </w:t>
      </w:r>
      <w:r w:rsidR="00173EEA">
        <w:rPr>
          <w:b/>
          <w:sz w:val="24"/>
        </w:rPr>
        <w:t xml:space="preserve">more </w:t>
      </w:r>
      <w:r>
        <w:rPr>
          <w:b/>
          <w:sz w:val="24"/>
        </w:rPr>
        <w:t xml:space="preserve">robust separation from </w:t>
      </w:r>
      <w:r w:rsidR="004867F1">
        <w:rPr>
          <w:b/>
          <w:sz w:val="24"/>
        </w:rPr>
        <w:t xml:space="preserve">potential situations of </w:t>
      </w:r>
      <w:r>
        <w:rPr>
          <w:b/>
          <w:sz w:val="24"/>
        </w:rPr>
        <w:t xml:space="preserve">financial </w:t>
      </w:r>
      <w:r w:rsidR="004F00DF">
        <w:rPr>
          <w:b/>
          <w:sz w:val="24"/>
        </w:rPr>
        <w:t>di</w:t>
      </w:r>
      <w:r w:rsidR="004867F1">
        <w:rPr>
          <w:b/>
          <w:sz w:val="24"/>
        </w:rPr>
        <w:t>stress</w:t>
      </w:r>
      <w:r>
        <w:rPr>
          <w:b/>
          <w:sz w:val="24"/>
        </w:rPr>
        <w:t xml:space="preserve"> of CenterPoint and its affiliates?</w:t>
      </w:r>
    </w:p>
    <w:p w:rsidR="004867F1" w:rsidRDefault="004867F1" w:rsidP="00776A78">
      <w:pPr>
        <w:spacing w:line="480" w:lineRule="exact"/>
        <w:ind w:left="720" w:right="360" w:hanging="720"/>
        <w:jc w:val="both"/>
        <w:rPr>
          <w:sz w:val="24"/>
        </w:rPr>
      </w:pPr>
      <w:r>
        <w:rPr>
          <w:sz w:val="24"/>
        </w:rPr>
        <w:t>A.</w:t>
      </w:r>
      <w:r>
        <w:rPr>
          <w:sz w:val="24"/>
        </w:rPr>
        <w:tab/>
        <w:t xml:space="preserve">Below is a listing of several financial protection measures the Commission used in </w:t>
      </w:r>
      <w:r w:rsidR="00C64248">
        <w:rPr>
          <w:sz w:val="24"/>
        </w:rPr>
        <w:t>the various dockets I cited earlier</w:t>
      </w:r>
      <w:r>
        <w:rPr>
          <w:sz w:val="24"/>
        </w:rPr>
        <w:t xml:space="preserve">.  </w:t>
      </w:r>
      <w:r w:rsidR="00200A1A">
        <w:rPr>
          <w:sz w:val="24"/>
        </w:rPr>
        <w:t xml:space="preserve">I believe implementation of these types of provisions would provide a meaningful degree of separation for CEHE and serve as insurance against the possibility of CEHE being swept up in a situation of severe financial distress on the part of CenterPoint or its other affiliates.  I would additionally recommend that, to the extent that CEHE’s existing policies (as discussed in the previous section of my testimony) provide compliance with the recommendations below, CEHE should be required to commit to maintaining those policies.  </w:t>
      </w:r>
    </w:p>
    <w:p w:rsidR="009659AB" w:rsidRDefault="009659AB" w:rsidP="00BC7448">
      <w:pPr>
        <w:pStyle w:val="FOFCOL"/>
        <w:numPr>
          <w:ilvl w:val="0"/>
          <w:numId w:val="37"/>
        </w:numPr>
        <w:spacing w:before="240" w:line="240" w:lineRule="auto"/>
        <w:ind w:right="720"/>
      </w:pPr>
      <w:r w:rsidRPr="005D713A">
        <w:rPr>
          <w:u w:val="single"/>
        </w:rPr>
        <w:t>Dividend Restriction Commitment.</w:t>
      </w:r>
      <w:r>
        <w:t xml:space="preserve">  CEHE will limit the payment of dividends by CEHE to an amount not to exceed CEHE's net income (</w:t>
      </w:r>
      <w:r w:rsidR="006372BE">
        <w:t xml:space="preserve">as </w:t>
      </w:r>
      <w:r>
        <w:t>determined in accordance with generally accepted accounting principles).</w:t>
      </w:r>
    </w:p>
    <w:p w:rsidR="009659AB" w:rsidRDefault="009659AB" w:rsidP="00BC7448">
      <w:pPr>
        <w:pStyle w:val="FOFCOL"/>
        <w:numPr>
          <w:ilvl w:val="0"/>
          <w:numId w:val="37"/>
        </w:numPr>
        <w:tabs>
          <w:tab w:val="num" w:pos="1260"/>
        </w:tabs>
        <w:spacing w:before="240" w:line="240" w:lineRule="auto"/>
        <w:ind w:right="720"/>
      </w:pPr>
      <w:r w:rsidRPr="005D713A">
        <w:rPr>
          <w:u w:val="single"/>
        </w:rPr>
        <w:t>CEHE Credit Ratings and Dividends.</w:t>
      </w:r>
      <w:r>
        <w:t xml:space="preserve">  CEHE will </w:t>
      </w:r>
      <w:r w:rsidR="006372BE">
        <w:t xml:space="preserve">work to </w:t>
      </w:r>
      <w:r>
        <w:t>ensure that its credit ratings at all three major ratings agencies (</w:t>
      </w:r>
      <w:r w:rsidR="00EB1C93">
        <w:t>S&amp;P, Moody’s, and Fitch</w:t>
      </w:r>
      <w:r>
        <w:t xml:space="preserve">) </w:t>
      </w:r>
      <w:r w:rsidR="006372BE">
        <w:t>remain</w:t>
      </w:r>
      <w:r>
        <w:t xml:space="preserve"> at or above CEHE’s current credit ratings, and if </w:t>
      </w:r>
      <w:r w:rsidR="00EB1C93">
        <w:t>CEHE’s</w:t>
      </w:r>
      <w:r>
        <w:t xml:space="preserve"> credit rating </w:t>
      </w:r>
      <w:r w:rsidR="00EB1C93">
        <w:t>at</w:t>
      </w:r>
      <w:r>
        <w:t xml:space="preserve"> any one of the three major ratings agencies </w:t>
      </w:r>
      <w:r w:rsidR="00D86259">
        <w:t xml:space="preserve">falls below </w:t>
      </w:r>
      <w:r w:rsidR="00D86259" w:rsidRPr="00C64248">
        <w:t>BBB</w:t>
      </w:r>
      <w:r w:rsidR="008A3AB8">
        <w:t>+</w:t>
      </w:r>
      <w:r w:rsidR="00C64248">
        <w:rPr>
          <w:rStyle w:val="FootnoteReference"/>
        </w:rPr>
        <w:footnoteReference w:id="14"/>
      </w:r>
      <w:r w:rsidR="00D86259">
        <w:t xml:space="preserve"> </w:t>
      </w:r>
      <w:r w:rsidR="00C64248">
        <w:t xml:space="preserve">(or its equivalent) </w:t>
      </w:r>
      <w:r>
        <w:t>for CEHE</w:t>
      </w:r>
      <w:r w:rsidR="00D86259">
        <w:t>’s</w:t>
      </w:r>
      <w:r>
        <w:t xml:space="preserve"> senior secured debt, then CEHE will suspend payment of dividends or other distributions, except for contractual tax payments, until otherwise allowed by the Commission.  CEHE shall notify the Commission if its credit issuer rating or corporate rating as rated by any of the three major rating agencies falls below investment-grade level.</w:t>
      </w:r>
    </w:p>
    <w:p w:rsidR="009659AB" w:rsidRDefault="00273622" w:rsidP="00BC7448">
      <w:pPr>
        <w:pStyle w:val="FOFCOL"/>
        <w:numPr>
          <w:ilvl w:val="0"/>
          <w:numId w:val="37"/>
        </w:numPr>
        <w:tabs>
          <w:tab w:val="num" w:pos="1260"/>
        </w:tabs>
        <w:spacing w:before="240" w:line="240" w:lineRule="auto"/>
        <w:ind w:right="720"/>
      </w:pPr>
      <w:r w:rsidRPr="005D713A">
        <w:rPr>
          <w:u w:val="single"/>
        </w:rPr>
        <w:t>Debt-to-Equity</w:t>
      </w:r>
      <w:r w:rsidR="009659AB" w:rsidRPr="005D713A">
        <w:rPr>
          <w:u w:val="single"/>
        </w:rPr>
        <w:t xml:space="preserve"> Ratio Commitment.</w:t>
      </w:r>
      <w:r w:rsidR="009659AB">
        <w:t xml:space="preserve">  CEHE’s debt will be limited so that its </w:t>
      </w:r>
      <w:r>
        <w:t>debt-to-equity</w:t>
      </w:r>
      <w:r w:rsidR="009659AB">
        <w:t xml:space="preserve"> ratio is </w:t>
      </w:r>
      <w:r w:rsidR="006372BE">
        <w:t xml:space="preserve">at or below the </w:t>
      </w:r>
      <w:r>
        <w:t>debt-to-equity</w:t>
      </w:r>
      <w:r w:rsidR="009659AB">
        <w:t xml:space="preserve"> ratio established from time to time by the Commission for ratemaking purposes in CEHE rate proceedings.  The Commission has authority to determine what types of debt and equity are included in a utility’s </w:t>
      </w:r>
      <w:r>
        <w:t>debt-to-equity</w:t>
      </w:r>
      <w:r w:rsidR="009659AB">
        <w:t xml:space="preserve"> ratio.  CEHE will make no payment of dividends or other distributions, except for contractual tax payments, where such dividends or other distributions would cause CEHE to be out of compliance with the Commission-approved </w:t>
      </w:r>
      <w:r>
        <w:t>debt-to-equity</w:t>
      </w:r>
      <w:r w:rsidR="009659AB">
        <w:t xml:space="preserve"> ratio.  Additionally, </w:t>
      </w:r>
      <w:r w:rsidR="009659AB">
        <w:lastRenderedPageBreak/>
        <w:t>neither CenterPoint nor any of its affiliates will issue stock or ownership interest that supersede the foregoing obligations of CEHE.</w:t>
      </w:r>
    </w:p>
    <w:p w:rsidR="009659AB" w:rsidRDefault="009659AB" w:rsidP="00BC7448">
      <w:pPr>
        <w:pStyle w:val="FOFCOL"/>
        <w:numPr>
          <w:ilvl w:val="0"/>
          <w:numId w:val="37"/>
        </w:numPr>
        <w:tabs>
          <w:tab w:val="num" w:pos="1260"/>
        </w:tabs>
        <w:spacing w:before="240" w:line="240" w:lineRule="auto"/>
        <w:ind w:right="720"/>
      </w:pPr>
      <w:r w:rsidRPr="005D713A">
        <w:rPr>
          <w:u w:val="single"/>
        </w:rPr>
        <w:t xml:space="preserve">Regulatory </w:t>
      </w:r>
      <w:r w:rsidR="006372BE" w:rsidRPr="005D713A">
        <w:rPr>
          <w:u w:val="single"/>
        </w:rPr>
        <w:t>Return on Equity (</w:t>
      </w:r>
      <w:r w:rsidRPr="005D713A">
        <w:rPr>
          <w:u w:val="single"/>
        </w:rPr>
        <w:t>ROE</w:t>
      </w:r>
      <w:r w:rsidR="006372BE" w:rsidRPr="005D713A">
        <w:rPr>
          <w:u w:val="single"/>
        </w:rPr>
        <w:t>)</w:t>
      </w:r>
      <w:r w:rsidRPr="005D713A">
        <w:rPr>
          <w:u w:val="single"/>
        </w:rPr>
        <w:t xml:space="preserve"> Commitment.</w:t>
      </w:r>
      <w:r>
        <w:t xml:space="preserve">  If CEHE’s </w:t>
      </w:r>
      <w:r w:rsidR="006372BE">
        <w:t>issuer credit</w:t>
      </w:r>
      <w:r>
        <w:t xml:space="preserve"> rating is not maintained as investment grade by </w:t>
      </w:r>
      <w:r w:rsidR="00EB1C93">
        <w:t>S&amp;P</w:t>
      </w:r>
      <w:r>
        <w:t>, Moody</w:t>
      </w:r>
      <w:r w:rsidR="000A6492">
        <w:t>’s, and</w:t>
      </w:r>
      <w:r>
        <w:t xml:space="preserve"> Fitch</w:t>
      </w:r>
      <w:r w:rsidR="006372BE">
        <w:t>, CEHE will not use its below-investment-</w:t>
      </w:r>
      <w:r>
        <w:t xml:space="preserve">grade ratings to justify an argument in favor of a higher regulatory </w:t>
      </w:r>
      <w:r w:rsidR="006372BE">
        <w:t>ROE</w:t>
      </w:r>
      <w:r>
        <w:t>.</w:t>
      </w:r>
    </w:p>
    <w:p w:rsidR="009659AB" w:rsidRDefault="009659AB" w:rsidP="00BC7448">
      <w:pPr>
        <w:pStyle w:val="FOFCOL"/>
        <w:numPr>
          <w:ilvl w:val="0"/>
          <w:numId w:val="37"/>
        </w:numPr>
        <w:tabs>
          <w:tab w:val="num" w:pos="1260"/>
        </w:tabs>
        <w:spacing w:before="240" w:line="240" w:lineRule="auto"/>
        <w:ind w:right="720"/>
      </w:pPr>
      <w:r w:rsidRPr="005D713A">
        <w:rPr>
          <w:u w:val="single"/>
        </w:rPr>
        <w:t>Stand-Alone Credit Rating.</w:t>
      </w:r>
      <w:r>
        <w:t xml:space="preserve">  Except as may be otherwise ordered by the Commission, CenterPoint shall take the actions necessary to ensure the existence of </w:t>
      </w:r>
      <w:r w:rsidR="002A774A">
        <w:t>a</w:t>
      </w:r>
      <w:r>
        <w:t xml:space="preserve"> CEHE stand-alone credit rating.</w:t>
      </w:r>
    </w:p>
    <w:p w:rsidR="009659AB" w:rsidRDefault="0017418F" w:rsidP="00BC7448">
      <w:pPr>
        <w:pStyle w:val="FOFCOL"/>
        <w:numPr>
          <w:ilvl w:val="0"/>
          <w:numId w:val="37"/>
        </w:numPr>
        <w:tabs>
          <w:tab w:val="num" w:pos="1260"/>
        </w:tabs>
        <w:spacing w:before="240" w:line="240" w:lineRule="auto"/>
        <w:ind w:right="720"/>
      </w:pPr>
      <w:r>
        <w:t xml:space="preserve">CEHE </w:t>
      </w:r>
      <w:r w:rsidR="009659AB">
        <w:t xml:space="preserve">will </w:t>
      </w:r>
      <w:r>
        <w:t xml:space="preserve">not </w:t>
      </w:r>
      <w:r w:rsidR="009659AB">
        <w:t xml:space="preserve">hold out its credit as being available to pay the debt of </w:t>
      </w:r>
      <w:r>
        <w:t>any</w:t>
      </w:r>
      <w:r w:rsidR="009659AB">
        <w:t xml:space="preserve"> CenterPoint affiliates.</w:t>
      </w:r>
    </w:p>
    <w:p w:rsidR="009659AB" w:rsidRPr="000A6492" w:rsidRDefault="009659AB" w:rsidP="00BC7448">
      <w:pPr>
        <w:pStyle w:val="FOFCOL"/>
        <w:numPr>
          <w:ilvl w:val="0"/>
          <w:numId w:val="37"/>
        </w:numPr>
        <w:tabs>
          <w:tab w:val="num" w:pos="1260"/>
        </w:tabs>
        <w:spacing w:before="240" w:line="240" w:lineRule="auto"/>
        <w:ind w:right="720"/>
      </w:pPr>
      <w:r w:rsidRPr="000A6492">
        <w:t>CEHE will not commingle its assets with those of other CenterPoint affiliates.</w:t>
      </w:r>
    </w:p>
    <w:p w:rsidR="009659AB" w:rsidRPr="000A6492" w:rsidRDefault="009659AB" w:rsidP="00BC7448">
      <w:pPr>
        <w:pStyle w:val="FOFCOL"/>
        <w:numPr>
          <w:ilvl w:val="0"/>
          <w:numId w:val="37"/>
        </w:numPr>
        <w:tabs>
          <w:tab w:val="num" w:pos="1260"/>
        </w:tabs>
        <w:spacing w:before="240" w:line="240" w:lineRule="auto"/>
        <w:ind w:right="720"/>
      </w:pPr>
      <w:r w:rsidRPr="005D713A">
        <w:rPr>
          <w:u w:val="single"/>
        </w:rPr>
        <w:t>No Pledging of Assets Commitment.</w:t>
      </w:r>
      <w:r w:rsidR="00A21925">
        <w:t xml:space="preserve">  CEHE will not pledge its assets with respect to, or guarantee, any debt or obligation of CEHE affiliates</w:t>
      </w:r>
      <w:r w:rsidRPr="000A6492">
        <w:t xml:space="preserve">.  </w:t>
      </w:r>
    </w:p>
    <w:p w:rsidR="009659AB" w:rsidRPr="000A6492" w:rsidRDefault="009659AB" w:rsidP="00BC7448">
      <w:pPr>
        <w:pStyle w:val="FOFCOL"/>
        <w:numPr>
          <w:ilvl w:val="0"/>
          <w:numId w:val="37"/>
        </w:numPr>
        <w:tabs>
          <w:tab w:val="num" w:pos="1260"/>
        </w:tabs>
        <w:spacing w:before="240" w:line="240" w:lineRule="auto"/>
        <w:ind w:right="720"/>
      </w:pPr>
      <w:r w:rsidRPr="005D713A">
        <w:rPr>
          <w:u w:val="single"/>
        </w:rPr>
        <w:t>Affiliate Asset Transfer Commitment.</w:t>
      </w:r>
      <w:r w:rsidRPr="000A6492">
        <w:t xml:space="preserve">  CEHE will not transfer any material assets or facilities to any affiliates, other than</w:t>
      </w:r>
      <w:r w:rsidR="006372BE" w:rsidRPr="000A6492">
        <w:t xml:space="preserve"> a transfer that is on an arm’s-</w:t>
      </w:r>
      <w:r w:rsidRPr="000A6492">
        <w:t>length basis</w:t>
      </w:r>
      <w:r w:rsidR="00C64248">
        <w:t xml:space="preserve"> consistent with the Commission’</w:t>
      </w:r>
      <w:r w:rsidRPr="000A6492">
        <w:t>s affiliate standards applicable to CEHE, regardless of whether such affiliate standards would apply to the particular transaction.</w:t>
      </w:r>
      <w:r w:rsidR="00EB1C93" w:rsidRPr="000A6492">
        <w:t xml:space="preserve"> </w:t>
      </w:r>
    </w:p>
    <w:p w:rsidR="009659AB" w:rsidRDefault="009659AB" w:rsidP="00BC7448">
      <w:pPr>
        <w:pStyle w:val="FOFCOL"/>
        <w:numPr>
          <w:ilvl w:val="0"/>
          <w:numId w:val="37"/>
        </w:numPr>
        <w:tabs>
          <w:tab w:val="num" w:pos="1260"/>
        </w:tabs>
        <w:spacing w:before="240" w:line="240" w:lineRule="auto"/>
        <w:ind w:right="720"/>
      </w:pPr>
      <w:r w:rsidRPr="005D713A">
        <w:rPr>
          <w:u w:val="single"/>
        </w:rPr>
        <w:t>No Inter-Company Lending and Borrowing Commitment.</w:t>
      </w:r>
      <w:r>
        <w:t xml:space="preserve">  CEHE will not lend money to or borrow money from CenterPoint affiliates. </w:t>
      </w:r>
    </w:p>
    <w:p w:rsidR="009659AB" w:rsidRDefault="009659AB" w:rsidP="00BC7448">
      <w:pPr>
        <w:pStyle w:val="FOFCOL"/>
        <w:numPr>
          <w:ilvl w:val="0"/>
          <w:numId w:val="37"/>
        </w:numPr>
        <w:tabs>
          <w:tab w:val="num" w:pos="1260"/>
        </w:tabs>
        <w:spacing w:before="240" w:line="240" w:lineRule="auto"/>
        <w:ind w:right="720"/>
      </w:pPr>
      <w:r w:rsidRPr="005D713A">
        <w:rPr>
          <w:u w:val="single"/>
        </w:rPr>
        <w:t>No Debt Disproportionally Dependent on CEHE.</w:t>
      </w:r>
      <w:r>
        <w:t xml:space="preserve">  Without prior approval of the Commission, neither CenterPoint nor any affiliate of CenterPoint (excluding CEHE) will incur, guaranty, or pledge assets in respect of any incremental new debt that is dependent on: </w:t>
      </w:r>
      <w:r w:rsidR="006372BE">
        <w:t xml:space="preserve"> </w:t>
      </w:r>
      <w:r>
        <w:t xml:space="preserve">(1) the revenues of CEHE in more than a proportionate degree than the other revenues of CenterPoint; or (2) the stock of CEHE.  </w:t>
      </w:r>
    </w:p>
    <w:p w:rsidR="009659AB" w:rsidRDefault="009659AB" w:rsidP="00BC7448">
      <w:pPr>
        <w:pStyle w:val="FOFCOL"/>
        <w:numPr>
          <w:ilvl w:val="0"/>
          <w:numId w:val="37"/>
        </w:numPr>
        <w:tabs>
          <w:tab w:val="num" w:pos="1260"/>
        </w:tabs>
        <w:spacing w:before="240" w:line="240" w:lineRule="auto"/>
        <w:ind w:right="720"/>
      </w:pPr>
      <w:r w:rsidRPr="005D713A">
        <w:rPr>
          <w:u w:val="single"/>
        </w:rPr>
        <w:t>Non-Consolidation Legal Opinion.</w:t>
      </w:r>
      <w:r>
        <w:t xml:space="preserve">  CenterPoint will obtain a non-consolidation legal opinion </w:t>
      </w:r>
      <w:r w:rsidR="006D067F">
        <w:t>that provides</w:t>
      </w:r>
      <w:r>
        <w:t xml:space="preserve"> that, in the event of a bankruptcy of CenterPoint or any of its affiliates, a bankruptcy court will not consolidate the assets and liabilities of CEHE with CenterPoint or any of its affiliates.</w:t>
      </w:r>
    </w:p>
    <w:p w:rsidR="009659AB" w:rsidRDefault="009659AB" w:rsidP="00BC7448">
      <w:pPr>
        <w:pStyle w:val="FOFCOL"/>
        <w:numPr>
          <w:ilvl w:val="0"/>
          <w:numId w:val="37"/>
        </w:numPr>
        <w:tabs>
          <w:tab w:val="num" w:pos="1260"/>
        </w:tabs>
        <w:spacing w:before="240" w:line="240" w:lineRule="auto"/>
        <w:ind w:right="720"/>
      </w:pPr>
      <w:r w:rsidRPr="005D713A">
        <w:rPr>
          <w:u w:val="single"/>
        </w:rPr>
        <w:t>No Bankruptcy Cost Commitment.</w:t>
      </w:r>
      <w:r>
        <w:t xml:space="preserve">  CEHE will not see</w:t>
      </w:r>
      <w:r w:rsidR="006D067F">
        <w:t>k</w:t>
      </w:r>
      <w:r>
        <w:t xml:space="preserve"> to recover any costs associated with a bankrupt</w:t>
      </w:r>
      <w:r w:rsidR="00BC7448">
        <w:t>c</w:t>
      </w:r>
      <w:r>
        <w:t xml:space="preserve">y of CenterPoint or any of its affiliates.  </w:t>
      </w:r>
    </w:p>
    <w:p w:rsidR="006372BE" w:rsidRDefault="006372BE" w:rsidP="006372BE">
      <w:pPr>
        <w:pStyle w:val="FOFCOL"/>
        <w:spacing w:before="0" w:line="240" w:lineRule="auto"/>
        <w:ind w:left="1080" w:right="720" w:firstLine="0"/>
      </w:pPr>
    </w:p>
    <w:p w:rsidR="007E3EBD" w:rsidRDefault="007E3EBD">
      <w:pPr>
        <w:rPr>
          <w:b/>
          <w:snapToGrid w:val="0"/>
          <w:sz w:val="24"/>
        </w:rPr>
      </w:pPr>
      <w:r>
        <w:rPr>
          <w:b/>
        </w:rPr>
        <w:br w:type="page"/>
      </w:r>
    </w:p>
    <w:p w:rsidR="009659AB" w:rsidRPr="000D1D1D" w:rsidRDefault="000D1D1D" w:rsidP="00AE4608">
      <w:pPr>
        <w:pStyle w:val="FOFCOL"/>
        <w:tabs>
          <w:tab w:val="num" w:pos="1260"/>
        </w:tabs>
        <w:spacing w:line="480" w:lineRule="exact"/>
        <w:ind w:right="360"/>
        <w:rPr>
          <w:b/>
        </w:rPr>
      </w:pPr>
      <w:r w:rsidRPr="000D1D1D">
        <w:rPr>
          <w:b/>
        </w:rPr>
        <w:lastRenderedPageBreak/>
        <w:t>Q.</w:t>
      </w:r>
      <w:r w:rsidRPr="000D1D1D">
        <w:rPr>
          <w:b/>
        </w:rPr>
        <w:tab/>
        <w:t>Why do you believe that implementation of the above provisions would be effective</w:t>
      </w:r>
      <w:r w:rsidR="00585A21">
        <w:rPr>
          <w:b/>
        </w:rPr>
        <w:t xml:space="preserve"> in providing a meaningful degree of separation between CEHE and CenterPoint</w:t>
      </w:r>
      <w:r w:rsidRPr="000D1D1D">
        <w:rPr>
          <w:b/>
        </w:rPr>
        <w:t>?</w:t>
      </w:r>
    </w:p>
    <w:p w:rsidR="00E51FED" w:rsidRDefault="000D1D1D" w:rsidP="00AE4608">
      <w:pPr>
        <w:pStyle w:val="FOFCOL"/>
        <w:tabs>
          <w:tab w:val="num" w:pos="1260"/>
        </w:tabs>
        <w:spacing w:before="0" w:line="480" w:lineRule="exact"/>
        <w:ind w:right="360"/>
      </w:pPr>
      <w:r>
        <w:t>A.</w:t>
      </w:r>
      <w:r>
        <w:tab/>
      </w:r>
      <w:r w:rsidR="005E210C">
        <w:t>The reason, q</w:t>
      </w:r>
      <w:r>
        <w:t xml:space="preserve">uite simply, </w:t>
      </w:r>
      <w:r w:rsidR="005E210C">
        <w:t>is</w:t>
      </w:r>
      <w:r w:rsidR="0021208E">
        <w:t xml:space="preserve"> that</w:t>
      </w:r>
      <w:r w:rsidR="005E210C">
        <w:t xml:space="preserve"> they are known to </w:t>
      </w:r>
      <w:r>
        <w:t>have worked.  In</w:t>
      </w:r>
      <w:r w:rsidR="004F6F72">
        <w:t xml:space="preserve"> the 2014 bankruptcy of</w:t>
      </w:r>
      <w:r>
        <w:t xml:space="preserve"> Energy Futures Holdings</w:t>
      </w:r>
      <w:r w:rsidR="004F6F72">
        <w:t xml:space="preserve"> Corporation (EFH)</w:t>
      </w:r>
      <w:r>
        <w:t xml:space="preserve">, the </w:t>
      </w:r>
      <w:r w:rsidR="0021208E">
        <w:t xml:space="preserve">various </w:t>
      </w:r>
      <w:r>
        <w:t xml:space="preserve">ring-fencing provisions that the Commission </w:t>
      </w:r>
      <w:r w:rsidR="0021208E">
        <w:t>included</w:t>
      </w:r>
      <w:r>
        <w:t xml:space="preserve"> in its order for Docket No. 34077 </w:t>
      </w:r>
      <w:r w:rsidR="009123B6">
        <w:t>(</w:t>
      </w:r>
      <w:r w:rsidR="00410B04">
        <w:t>referenced</w:t>
      </w:r>
      <w:r w:rsidR="009123B6">
        <w:t xml:space="preserve"> on page </w:t>
      </w:r>
      <w:r w:rsidR="00410B04">
        <w:t>7</w:t>
      </w:r>
      <w:r w:rsidR="009123B6">
        <w:t xml:space="preserve">) served their purpose:  they effectively insulated Oncor Electric Delivery from its parent’s bankruptcy filing </w:t>
      </w:r>
      <w:r w:rsidR="0021208E">
        <w:t>and preserved Oncor’s stand-alone credit status and financial stability.  Through</w:t>
      </w:r>
      <w:r w:rsidR="005E210C">
        <w:t>out</w:t>
      </w:r>
      <w:r w:rsidR="0021208E">
        <w:t xml:space="preserve"> the entirety of EFH’s </w:t>
      </w:r>
      <w:r w:rsidR="004F6F72">
        <w:t xml:space="preserve">approximately </w:t>
      </w:r>
      <w:r w:rsidR="0021208E" w:rsidRPr="004F6F72">
        <w:t>three-year</w:t>
      </w:r>
      <w:r w:rsidR="0021208E">
        <w:t xml:space="preserve"> bankruptcy process, Oncor maintained its bankruptcy-remote separateness and its ability to provide reliable delivery service at just and reasonable </w:t>
      </w:r>
      <w:r w:rsidR="004F00DF">
        <w:t>rates</w:t>
      </w:r>
      <w:r w:rsidR="0021208E">
        <w:t xml:space="preserve">.  </w:t>
      </w:r>
    </w:p>
    <w:p w:rsidR="00675B13" w:rsidRDefault="00E51FED" w:rsidP="00AE4608">
      <w:pPr>
        <w:pStyle w:val="FOFCOL"/>
        <w:tabs>
          <w:tab w:val="num" w:pos="1260"/>
        </w:tabs>
        <w:spacing w:before="0" w:line="480" w:lineRule="exact"/>
        <w:ind w:right="360"/>
      </w:pPr>
      <w:r>
        <w:tab/>
      </w:r>
      <w:r>
        <w:tab/>
      </w:r>
      <w:r w:rsidR="005E210C">
        <w:t xml:space="preserve">It is important to keep in mind </w:t>
      </w:r>
      <w:r w:rsidR="00E13A87">
        <w:t xml:space="preserve">the reasonable assumption </w:t>
      </w:r>
      <w:r w:rsidR="005E210C">
        <w:t>that, a</w:t>
      </w:r>
      <w:r w:rsidR="00406CC1">
        <w:t>t the time of the Commission’s order in Docket N</w:t>
      </w:r>
      <w:r w:rsidR="004F6F72">
        <w:t xml:space="preserve">o. 34077, interested parties did not </w:t>
      </w:r>
      <w:r w:rsidR="00406CC1">
        <w:t xml:space="preserve">place a </w:t>
      </w:r>
      <w:r w:rsidR="004F6F72">
        <w:t>material</w:t>
      </w:r>
      <w:r w:rsidR="00406CC1">
        <w:t xml:space="preserve"> probability on a future EFH bankruptcy</w:t>
      </w:r>
      <w:r>
        <w:t>.  I</w:t>
      </w:r>
      <w:r w:rsidR="00406CC1">
        <w:t>ndeed,</w:t>
      </w:r>
      <w:r w:rsidR="005D219C">
        <w:t xml:space="preserve"> had the assessment</w:t>
      </w:r>
      <w:r w:rsidR="00406CC1">
        <w:t xml:space="preserve"> been otherwise, </w:t>
      </w:r>
      <w:r w:rsidR="005F3326">
        <w:t xml:space="preserve">I believe it is reasonable to conclude that </w:t>
      </w:r>
      <w:r w:rsidR="00406CC1">
        <w:t>the</w:t>
      </w:r>
      <w:r w:rsidR="004F6F72">
        <w:t xml:space="preserve"> 2007</w:t>
      </w:r>
      <w:r w:rsidR="00406CC1">
        <w:t xml:space="preserve"> </w:t>
      </w:r>
      <w:r w:rsidR="005F3326">
        <w:t xml:space="preserve">leveraged buyout </w:t>
      </w:r>
      <w:r w:rsidR="00BB724C">
        <w:t xml:space="preserve">(LBO) </w:t>
      </w:r>
      <w:r w:rsidR="005F3326">
        <w:t>of TXU Energy</w:t>
      </w:r>
      <w:r w:rsidR="005E210C">
        <w:t>—which</w:t>
      </w:r>
      <w:r w:rsidR="004F6F72">
        <w:t xml:space="preserve"> </w:t>
      </w:r>
      <w:r w:rsidR="005E210C">
        <w:t>was</w:t>
      </w:r>
      <w:r w:rsidR="00797FAE">
        <w:t xml:space="preserve"> (and still is)</w:t>
      </w:r>
      <w:r w:rsidR="005E210C">
        <w:t xml:space="preserve"> the </w:t>
      </w:r>
      <w:r w:rsidR="00406CC1" w:rsidRPr="005F3326">
        <w:t xml:space="preserve">largest </w:t>
      </w:r>
      <w:r w:rsidR="009F0A48">
        <w:t>LBO</w:t>
      </w:r>
      <w:r w:rsidR="005E210C" w:rsidRPr="005F3326">
        <w:t xml:space="preserve"> transaction in history</w:t>
      </w:r>
      <w:r w:rsidR="005F3326" w:rsidRPr="005F3326">
        <w:rPr>
          <w:rStyle w:val="FootnoteReference"/>
        </w:rPr>
        <w:footnoteReference w:id="15"/>
      </w:r>
      <w:r w:rsidR="005E210C" w:rsidRPr="005F3326">
        <w:t>—</w:t>
      </w:r>
      <w:r w:rsidR="00406CC1">
        <w:t xml:space="preserve">would never have taken place.  </w:t>
      </w:r>
    </w:p>
    <w:p w:rsidR="005E210C" w:rsidRDefault="00675B13" w:rsidP="00AE4608">
      <w:pPr>
        <w:pStyle w:val="FOFCOL"/>
        <w:tabs>
          <w:tab w:val="num" w:pos="1260"/>
        </w:tabs>
        <w:spacing w:before="0" w:line="480" w:lineRule="exact"/>
        <w:ind w:right="360"/>
      </w:pPr>
      <w:r>
        <w:tab/>
      </w:r>
      <w:r>
        <w:tab/>
      </w:r>
      <w:r w:rsidR="00406CC1">
        <w:t>Such</w:t>
      </w:r>
      <w:r w:rsidR="004F6F72">
        <w:t xml:space="preserve"> generally optimistic</w:t>
      </w:r>
      <w:r w:rsidR="00406CC1">
        <w:t xml:space="preserve"> </w:t>
      </w:r>
      <w:r w:rsidR="005D219C">
        <w:t>expectations</w:t>
      </w:r>
      <w:r w:rsidR="00406CC1">
        <w:t xml:space="preserve"> notwithstanding, economic events can sometimes take unpredictable twists and turns—and </w:t>
      </w:r>
      <w:r w:rsidR="005D219C">
        <w:t>ultimately</w:t>
      </w:r>
      <w:r w:rsidR="00BB724C">
        <w:t xml:space="preserve"> for EFH</w:t>
      </w:r>
      <w:r w:rsidR="005D219C">
        <w:t xml:space="preserve">, </w:t>
      </w:r>
      <w:r w:rsidR="00406CC1">
        <w:t>twist and turn</w:t>
      </w:r>
      <w:r>
        <w:t xml:space="preserve"> they did.  Seven years after the Commission’s order in Docket No. 34077, EFH declared bankruptcy.  Oncor, however, e</w:t>
      </w:r>
      <w:r w:rsidR="005E210C">
        <w:t xml:space="preserve">ffectively </w:t>
      </w:r>
      <w:r>
        <w:t>stayed isolated from the bankruptcy fray</w:t>
      </w:r>
      <w:r w:rsidR="005E210C">
        <w:t>—and the basic reason was that the Commission’s ring-fencing provisions achieved the exact objectives</w:t>
      </w:r>
      <w:r w:rsidR="005A7130">
        <w:t xml:space="preserve"> for which they were intended.  </w:t>
      </w:r>
      <w:r w:rsidR="009F0A48">
        <w:t>T</w:t>
      </w:r>
      <w:r w:rsidR="005A7130">
        <w:t xml:space="preserve">hough </w:t>
      </w:r>
      <w:r w:rsidR="00BB724C">
        <w:t xml:space="preserve">the Commission may have implemented ring-fencing provisions in Docket No. 34077 largely out of an abundance of caution, </w:t>
      </w:r>
      <w:r w:rsidR="005A7130">
        <w:t xml:space="preserve">in the end </w:t>
      </w:r>
      <w:r w:rsidR="00BB724C">
        <w:t xml:space="preserve">the Commission’s </w:t>
      </w:r>
      <w:r w:rsidR="009F0A48">
        <w:t xml:space="preserve">prudence and </w:t>
      </w:r>
      <w:r w:rsidR="00BB724C">
        <w:t>foresight</w:t>
      </w:r>
      <w:r w:rsidR="004F00DF">
        <w:t xml:space="preserve"> paid off:  </w:t>
      </w:r>
      <w:r w:rsidR="005A7130">
        <w:t>Oncor remained bankruptcy-remote</w:t>
      </w:r>
      <w:r w:rsidR="007D72E4">
        <w:t xml:space="preserve"> and </w:t>
      </w:r>
      <w:r w:rsidR="00BB724C">
        <w:t xml:space="preserve">effectively </w:t>
      </w:r>
      <w:r w:rsidR="009F0A48">
        <w:t xml:space="preserve">financially </w:t>
      </w:r>
      <w:r w:rsidR="00BB724C">
        <w:t xml:space="preserve">separated from </w:t>
      </w:r>
      <w:r w:rsidR="004F00DF">
        <w:t>the</w:t>
      </w:r>
      <w:r w:rsidR="00BB724C">
        <w:t xml:space="preserve"> </w:t>
      </w:r>
      <w:r w:rsidR="00BB724C">
        <w:lastRenderedPageBreak/>
        <w:t>morass of legal wrangling</w:t>
      </w:r>
      <w:r w:rsidR="007D72E4">
        <w:t xml:space="preserve"> </w:t>
      </w:r>
      <w:r w:rsidR="00BB724C">
        <w:t>as</w:t>
      </w:r>
      <w:r w:rsidR="00F61662">
        <w:t xml:space="preserve"> the largest LBO in history </w:t>
      </w:r>
      <w:r w:rsidR="00877F5A">
        <w:t>deteriorated into</w:t>
      </w:r>
      <w:r w:rsidR="007D72E4">
        <w:t xml:space="preserve"> </w:t>
      </w:r>
      <w:r w:rsidR="00524842">
        <w:t xml:space="preserve">a multi-billion-dollar </w:t>
      </w:r>
      <w:r w:rsidR="007D72E4">
        <w:t>bankruptc</w:t>
      </w:r>
      <w:r w:rsidR="00524842">
        <w:t>y</w:t>
      </w:r>
      <w:r w:rsidR="007D72E4">
        <w:t xml:space="preserve">. </w:t>
      </w:r>
    </w:p>
    <w:p w:rsidR="000D1D1D" w:rsidRDefault="00675B13" w:rsidP="006A0FE7">
      <w:pPr>
        <w:pStyle w:val="FOFCOL"/>
        <w:tabs>
          <w:tab w:val="num" w:pos="1260"/>
        </w:tabs>
        <w:spacing w:before="0" w:line="480" w:lineRule="exact"/>
        <w:ind w:right="360"/>
      </w:pPr>
      <w:r>
        <w:tab/>
      </w:r>
      <w:r>
        <w:tab/>
        <w:t xml:space="preserve">Accordingly, </w:t>
      </w:r>
      <w:r w:rsidR="007D411D">
        <w:t>given</w:t>
      </w:r>
      <w:r w:rsidR="005D219C">
        <w:t xml:space="preserve"> the </w:t>
      </w:r>
      <w:r w:rsidR="007D411D">
        <w:t xml:space="preserve">unpredictable nature of economic realities, </w:t>
      </w:r>
      <w:r w:rsidR="00B701F1">
        <w:t xml:space="preserve">I believe it is reasonable to consider how (relatively recent) </w:t>
      </w:r>
      <w:r w:rsidR="007D411D">
        <w:t>past</w:t>
      </w:r>
      <w:r w:rsidR="005D219C">
        <w:t xml:space="preserve"> events </w:t>
      </w:r>
      <w:r w:rsidR="009F0A48">
        <w:t>may</w:t>
      </w:r>
      <w:r w:rsidR="00B701F1">
        <w:t xml:space="preserve"> help inform and guide Commission decisions relevant </w:t>
      </w:r>
      <w:r w:rsidR="005D219C">
        <w:t>to the particular c</w:t>
      </w:r>
      <w:r w:rsidR="00797FAE">
        <w:t>ircumstances of this proceeding</w:t>
      </w:r>
      <w:r w:rsidR="007D411D">
        <w:t xml:space="preserve">.  </w:t>
      </w:r>
      <w:r w:rsidR="00B701F1">
        <w:t>Consequently, f</w:t>
      </w:r>
      <w:r w:rsidR="0099118F">
        <w:t>or purposes of providing a reasonable set of protective mea</w:t>
      </w:r>
      <w:r w:rsidR="006A0FE7">
        <w:t xml:space="preserve">sures designed to insulate CEHE’s financial integrity </w:t>
      </w:r>
      <w:r w:rsidR="0099118F">
        <w:t xml:space="preserve">from </w:t>
      </w:r>
      <w:r w:rsidR="004F00DF">
        <w:t xml:space="preserve">possible </w:t>
      </w:r>
      <w:r w:rsidR="0099118F">
        <w:t>situations of CenterPoint’s or its affiliates</w:t>
      </w:r>
      <w:r w:rsidR="00797FAE">
        <w:t>’</w:t>
      </w:r>
      <w:r w:rsidR="0099118F">
        <w:t xml:space="preserve"> financial distress, </w:t>
      </w:r>
      <w:r w:rsidR="006A0FE7">
        <w:t xml:space="preserve">and to protect CEHE’s ability to provide reliable service at just and reasonable rates, </w:t>
      </w:r>
      <w:r w:rsidR="007D411D">
        <w:t>I</w:t>
      </w:r>
      <w:r w:rsidR="005A7130">
        <w:t xml:space="preserve"> </w:t>
      </w:r>
      <w:r w:rsidR="007D411D">
        <w:t xml:space="preserve">recommend that the Commission require CEHE to implement the </w:t>
      </w:r>
      <w:r w:rsidR="001D29BE">
        <w:t>measures</w:t>
      </w:r>
      <w:r w:rsidR="007D411D">
        <w:t xml:space="preserve"> I have </w:t>
      </w:r>
      <w:r w:rsidR="001D29BE">
        <w:t xml:space="preserve">presented </w:t>
      </w:r>
      <w:r w:rsidR="00E07A30">
        <w:t>here</w:t>
      </w:r>
      <w:r w:rsidR="006A0FE7">
        <w:t>.</w:t>
      </w:r>
      <w:r w:rsidR="007D411D">
        <w:t xml:space="preserve"> </w:t>
      </w:r>
    </w:p>
    <w:p w:rsidR="00E55BE9" w:rsidRDefault="00E55BE9" w:rsidP="000D1D1D">
      <w:pPr>
        <w:pStyle w:val="FOFCOL"/>
        <w:tabs>
          <w:tab w:val="num" w:pos="1260"/>
        </w:tabs>
        <w:spacing w:before="0" w:line="480" w:lineRule="exact"/>
        <w:ind w:right="720"/>
      </w:pPr>
      <w:r>
        <w:tab/>
      </w:r>
    </w:p>
    <w:p w:rsidR="00D20B1B" w:rsidRPr="00D20B1B" w:rsidRDefault="00D20B1B" w:rsidP="000D1D1D">
      <w:pPr>
        <w:pStyle w:val="FOFCOL"/>
        <w:tabs>
          <w:tab w:val="num" w:pos="1260"/>
        </w:tabs>
        <w:spacing w:before="0" w:line="480" w:lineRule="exact"/>
        <w:ind w:right="720"/>
        <w:rPr>
          <w:b/>
          <w:u w:val="single"/>
        </w:rPr>
      </w:pPr>
      <w:r>
        <w:tab/>
      </w:r>
      <w:r w:rsidR="001B5229">
        <w:rPr>
          <w:b/>
          <w:u w:val="single"/>
        </w:rPr>
        <w:t>VII</w:t>
      </w:r>
      <w:r w:rsidRPr="00D20B1B">
        <w:rPr>
          <w:b/>
          <w:u w:val="single"/>
        </w:rPr>
        <w:t>.  EXCESS ADFIT RELATED TO CEHE’S SECURITIZED COSTS</w:t>
      </w:r>
    </w:p>
    <w:p w:rsidR="00A619BA" w:rsidRDefault="00A619BA" w:rsidP="00AE4608">
      <w:pPr>
        <w:pStyle w:val="FOFCOL"/>
        <w:tabs>
          <w:tab w:val="num" w:pos="1260"/>
        </w:tabs>
        <w:spacing w:before="0" w:line="480" w:lineRule="exact"/>
        <w:ind w:right="360"/>
        <w:rPr>
          <w:b/>
        </w:rPr>
      </w:pPr>
      <w:r>
        <w:rPr>
          <w:b/>
        </w:rPr>
        <w:t>Q.</w:t>
      </w:r>
      <w:r>
        <w:rPr>
          <w:b/>
        </w:rPr>
        <w:tab/>
      </w:r>
      <w:r w:rsidR="009304BC">
        <w:rPr>
          <w:b/>
        </w:rPr>
        <w:t xml:space="preserve">Please briefly describe the </w:t>
      </w:r>
      <w:r>
        <w:rPr>
          <w:b/>
        </w:rPr>
        <w:t xml:space="preserve">issue you </w:t>
      </w:r>
      <w:r w:rsidR="009304BC">
        <w:rPr>
          <w:b/>
        </w:rPr>
        <w:t xml:space="preserve">are </w:t>
      </w:r>
      <w:r>
        <w:rPr>
          <w:b/>
        </w:rPr>
        <w:t>addressing in this section of your testimony</w:t>
      </w:r>
      <w:r w:rsidR="009304BC">
        <w:rPr>
          <w:b/>
        </w:rPr>
        <w:t>.</w:t>
      </w:r>
    </w:p>
    <w:p w:rsidR="00A619BA" w:rsidRDefault="00A619BA" w:rsidP="00AE4608">
      <w:pPr>
        <w:pStyle w:val="FOFCOL"/>
        <w:tabs>
          <w:tab w:val="num" w:pos="1260"/>
        </w:tabs>
        <w:spacing w:before="0" w:line="480" w:lineRule="exact"/>
        <w:ind w:right="360"/>
      </w:pPr>
      <w:r>
        <w:t>A.</w:t>
      </w:r>
      <w:r>
        <w:tab/>
        <w:t xml:space="preserve">In its RFI 1-05, </w:t>
      </w:r>
      <w:r w:rsidR="00E07A30">
        <w:t>GCCC</w:t>
      </w:r>
      <w:r>
        <w:t xml:space="preserve"> inquired about an income tax reduction—i.e., an increase to income—of $158 million that CEHE reported in its 2018 </w:t>
      </w:r>
      <w:r w:rsidR="00955701">
        <w:t xml:space="preserve">Form </w:t>
      </w:r>
      <w:r>
        <w:t>10-K Report.  CEHE stated in its response that:</w:t>
      </w:r>
      <w:r w:rsidR="00222195">
        <w:rPr>
          <w:rStyle w:val="FootnoteReference"/>
        </w:rPr>
        <w:footnoteReference w:id="16"/>
      </w:r>
    </w:p>
    <w:p w:rsidR="00A619BA" w:rsidRDefault="00A619BA" w:rsidP="00A619BA">
      <w:pPr>
        <w:pStyle w:val="FOFCOL"/>
        <w:tabs>
          <w:tab w:val="num" w:pos="1260"/>
        </w:tabs>
        <w:spacing w:before="0" w:line="240" w:lineRule="auto"/>
        <w:ind w:left="1267" w:right="720" w:hanging="1267"/>
      </w:pPr>
      <w:r>
        <w:tab/>
      </w:r>
    </w:p>
    <w:p w:rsidR="00A619BA" w:rsidRDefault="00A619BA" w:rsidP="00A619BA">
      <w:pPr>
        <w:pStyle w:val="FOFCOL"/>
        <w:tabs>
          <w:tab w:val="num" w:pos="1260"/>
        </w:tabs>
        <w:spacing w:before="0" w:line="240" w:lineRule="auto"/>
        <w:ind w:left="1267" w:right="720" w:hanging="1267"/>
      </w:pPr>
      <w:r>
        <w:tab/>
      </w:r>
      <w:r>
        <w:tab/>
        <w:t>The $158 million referenced in this question was for the revaluation of deferred taxes associated with transition and system restoration bonds that are recorded on the books of CenterPoint Energy Houston Electric, LLC.</w:t>
      </w:r>
    </w:p>
    <w:p w:rsidR="005175A9" w:rsidRPr="00A619BA" w:rsidRDefault="005175A9" w:rsidP="00A619BA">
      <w:pPr>
        <w:pStyle w:val="FOFCOL"/>
        <w:tabs>
          <w:tab w:val="num" w:pos="1260"/>
        </w:tabs>
        <w:spacing w:before="0" w:line="240" w:lineRule="auto"/>
        <w:ind w:left="1267" w:right="720" w:hanging="1267"/>
      </w:pPr>
    </w:p>
    <w:p w:rsidR="005175A9" w:rsidRDefault="005175A9" w:rsidP="00AE4608">
      <w:pPr>
        <w:pStyle w:val="FOFCOL"/>
        <w:tabs>
          <w:tab w:val="num" w:pos="1260"/>
        </w:tabs>
        <w:spacing w:before="0" w:line="480" w:lineRule="exact"/>
        <w:ind w:right="360"/>
      </w:pPr>
      <w:r>
        <w:rPr>
          <w:b/>
        </w:rPr>
        <w:tab/>
      </w:r>
      <w:r>
        <w:t>CEHE further explained</w:t>
      </w:r>
      <w:r w:rsidR="009304BC">
        <w:t xml:space="preserve"> in its response</w:t>
      </w:r>
      <w:r>
        <w:t xml:space="preserve"> that the $158 million adjustment was related to the Tax Cuts and Jobs Act</w:t>
      </w:r>
      <w:r w:rsidR="00044FC8">
        <w:t xml:space="preserve"> (TCJA)</w:t>
      </w:r>
      <w:r>
        <w:t xml:space="preserve">, which </w:t>
      </w:r>
      <w:r w:rsidR="00044FC8">
        <w:t xml:space="preserve">Congress enacted </w:t>
      </w:r>
      <w:r>
        <w:t>on December 22, 2017.  CEHE</w:t>
      </w:r>
      <w:r w:rsidR="00683DA2">
        <w:t>’s response included the following</w:t>
      </w:r>
      <w:r>
        <w:t xml:space="preserve">:  </w:t>
      </w:r>
    </w:p>
    <w:p w:rsidR="005175A9" w:rsidRDefault="005175A9" w:rsidP="005175A9">
      <w:pPr>
        <w:pStyle w:val="FOFCOL"/>
        <w:tabs>
          <w:tab w:val="num" w:pos="1260"/>
        </w:tabs>
        <w:spacing w:before="0" w:line="240" w:lineRule="auto"/>
        <w:ind w:left="1267" w:right="720" w:hanging="1267"/>
      </w:pPr>
    </w:p>
    <w:p w:rsidR="005175A9" w:rsidRDefault="005175A9" w:rsidP="005175A9">
      <w:pPr>
        <w:pStyle w:val="FOFCOL"/>
        <w:tabs>
          <w:tab w:val="num" w:pos="1260"/>
        </w:tabs>
        <w:spacing w:before="0" w:line="240" w:lineRule="auto"/>
        <w:ind w:left="1267" w:right="720" w:hanging="1267"/>
      </w:pPr>
      <w:r>
        <w:tab/>
        <w:t xml:space="preserve">…the effect of a change in tax laws or rates on a deferred tax liability or deferred tax assets is recognized as a discrete item in the interim period that includes the enactment date.  The TCJA was enacted on December 22, 2017 so CenterPoint Energy Houston Electric, LLC was required to record the deferred tax effects in December 2017.  </w:t>
      </w:r>
    </w:p>
    <w:p w:rsidR="008204DB" w:rsidRDefault="008204DB" w:rsidP="00AE4608">
      <w:pPr>
        <w:pStyle w:val="FOFCOL"/>
        <w:tabs>
          <w:tab w:val="num" w:pos="1260"/>
        </w:tabs>
        <w:spacing w:before="0" w:line="480" w:lineRule="exact"/>
        <w:ind w:right="360"/>
      </w:pPr>
      <w:r>
        <w:lastRenderedPageBreak/>
        <w:tab/>
      </w:r>
      <w:r w:rsidR="009304BC">
        <w:t xml:space="preserve">Given </w:t>
      </w:r>
      <w:r>
        <w:t xml:space="preserve">the magnitude of this $158 million figure that CEHE moved to its income account, I have attempted in my discussion below to provide an appropriately thorough explanation of the background </w:t>
      </w:r>
      <w:r w:rsidR="009A143B">
        <w:t xml:space="preserve">and critical substance </w:t>
      </w:r>
      <w:r>
        <w:t xml:space="preserve">of this item.  This historical context </w:t>
      </w:r>
      <w:r w:rsidR="008C1C5C">
        <w:t>furnishes</w:t>
      </w:r>
      <w:r w:rsidR="00E07A30">
        <w:t xml:space="preserve"> the basis of my </w:t>
      </w:r>
      <w:r>
        <w:t xml:space="preserve">reasoning </w:t>
      </w:r>
      <w:r w:rsidR="00E07A30">
        <w:t xml:space="preserve">for </w:t>
      </w:r>
      <w:r>
        <w:t xml:space="preserve">the recommendation </w:t>
      </w:r>
      <w:r w:rsidR="008C1C5C">
        <w:t xml:space="preserve">that </w:t>
      </w:r>
      <w:r>
        <w:t>I provide at the end of this section.</w:t>
      </w:r>
      <w:r>
        <w:tab/>
      </w:r>
    </w:p>
    <w:p w:rsidR="008204DB" w:rsidRDefault="008204DB" w:rsidP="008204DB">
      <w:pPr>
        <w:pStyle w:val="FOFCOL"/>
        <w:tabs>
          <w:tab w:val="num" w:pos="1260"/>
        </w:tabs>
        <w:spacing w:before="0" w:line="240" w:lineRule="auto"/>
        <w:ind w:right="360"/>
      </w:pPr>
    </w:p>
    <w:p w:rsidR="00D20B1B" w:rsidRPr="00D20B1B" w:rsidRDefault="00D20B1B" w:rsidP="00AE4608">
      <w:pPr>
        <w:pStyle w:val="FOFCOL"/>
        <w:tabs>
          <w:tab w:val="num" w:pos="1260"/>
        </w:tabs>
        <w:spacing w:before="0" w:line="480" w:lineRule="exact"/>
        <w:ind w:right="360"/>
        <w:rPr>
          <w:b/>
        </w:rPr>
      </w:pPr>
      <w:r w:rsidRPr="00D20B1B">
        <w:rPr>
          <w:b/>
        </w:rPr>
        <w:t>Q.</w:t>
      </w:r>
      <w:r w:rsidRPr="00D20B1B">
        <w:rPr>
          <w:b/>
        </w:rPr>
        <w:tab/>
      </w:r>
      <w:r w:rsidR="005175A9">
        <w:rPr>
          <w:b/>
        </w:rPr>
        <w:t xml:space="preserve">CEHE’s response to GCCC’s RFI 1-05 refers to “transition and system restoration bonds,” which are securitized bonds.  </w:t>
      </w:r>
      <w:r>
        <w:rPr>
          <w:b/>
        </w:rPr>
        <w:t xml:space="preserve">Please provide a brief </w:t>
      </w:r>
      <w:r w:rsidR="00504709">
        <w:rPr>
          <w:b/>
        </w:rPr>
        <w:t xml:space="preserve">description of </w:t>
      </w:r>
      <w:r>
        <w:rPr>
          <w:b/>
        </w:rPr>
        <w:t>CEHE’s securitized bond</w:t>
      </w:r>
      <w:r w:rsidR="005175A9">
        <w:rPr>
          <w:b/>
        </w:rPr>
        <w:t xml:space="preserve"> issuances</w:t>
      </w:r>
      <w:r>
        <w:rPr>
          <w:b/>
        </w:rPr>
        <w:t xml:space="preserve"> </w:t>
      </w:r>
      <w:r w:rsidR="00504709">
        <w:rPr>
          <w:b/>
        </w:rPr>
        <w:t>that remain outstanding</w:t>
      </w:r>
      <w:r>
        <w:rPr>
          <w:b/>
        </w:rPr>
        <w:t>.</w:t>
      </w:r>
    </w:p>
    <w:p w:rsidR="00D20B1B" w:rsidRDefault="00D20B1B" w:rsidP="00AE4608">
      <w:pPr>
        <w:pStyle w:val="FOFCOL"/>
        <w:tabs>
          <w:tab w:val="num" w:pos="1260"/>
        </w:tabs>
        <w:spacing w:before="0" w:line="480" w:lineRule="exact"/>
        <w:ind w:right="360"/>
      </w:pPr>
      <w:r>
        <w:t>A.</w:t>
      </w:r>
      <w:r>
        <w:tab/>
        <w:t xml:space="preserve">At present, CEHE has four issuances of securitized bonds outstanding.  The </w:t>
      </w:r>
      <w:r w:rsidR="00504709">
        <w:t xml:space="preserve">table below provides basic information </w:t>
      </w:r>
      <w:r w:rsidR="00955701">
        <w:t xml:space="preserve">from and </w:t>
      </w:r>
      <w:r w:rsidR="00044FC8">
        <w:t xml:space="preserve">about </w:t>
      </w:r>
      <w:r w:rsidR="00504709">
        <w:t xml:space="preserve">the proceedings in which the </w:t>
      </w:r>
      <w:r>
        <w:t>Commission issued financing orders</w:t>
      </w:r>
      <w:r w:rsidR="00504709">
        <w:t xml:space="preserve"> for those four securitization transactions</w:t>
      </w:r>
      <w:r>
        <w:t>:</w:t>
      </w:r>
    </w:p>
    <w:p w:rsidR="00364C18" w:rsidRDefault="00D20B1B" w:rsidP="00AE4608">
      <w:pPr>
        <w:pStyle w:val="FOFCOL"/>
        <w:tabs>
          <w:tab w:val="num" w:pos="1260"/>
        </w:tabs>
        <w:spacing w:before="0" w:line="480" w:lineRule="exact"/>
        <w:ind w:right="360"/>
      </w:pPr>
      <w:r>
        <w:tab/>
      </w:r>
      <w:r w:rsidR="00364C18">
        <w:tab/>
      </w:r>
    </w:p>
    <w:tbl>
      <w:tblPr>
        <w:tblW w:w="8300" w:type="dxa"/>
        <w:tblInd w:w="738" w:type="dxa"/>
        <w:tblLook w:val="04A0" w:firstRow="1" w:lastRow="0" w:firstColumn="1" w:lastColumn="0" w:noHBand="0" w:noVBand="1"/>
      </w:tblPr>
      <w:tblGrid>
        <w:gridCol w:w="976"/>
        <w:gridCol w:w="1460"/>
        <w:gridCol w:w="2020"/>
        <w:gridCol w:w="2160"/>
        <w:gridCol w:w="1700"/>
      </w:tblGrid>
      <w:tr w:rsidR="00364C18" w:rsidRPr="00364C18" w:rsidTr="00364C18">
        <w:trPr>
          <w:trHeight w:val="310"/>
        </w:trPr>
        <w:tc>
          <w:tcPr>
            <w:tcW w:w="9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p>
        </w:tc>
        <w:tc>
          <w:tcPr>
            <w:tcW w:w="14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Order</w:t>
            </w:r>
          </w:p>
        </w:tc>
        <w:tc>
          <w:tcPr>
            <w:tcW w:w="202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Securitized Amount</w:t>
            </w:r>
          </w:p>
        </w:tc>
        <w:tc>
          <w:tcPr>
            <w:tcW w:w="21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Type of Costs</w:t>
            </w:r>
          </w:p>
        </w:tc>
        <w:tc>
          <w:tcPr>
            <w:tcW w:w="170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 xml:space="preserve">Scheduled Final </w:t>
            </w:r>
          </w:p>
        </w:tc>
      </w:tr>
      <w:tr w:rsidR="00364C18" w:rsidRPr="00364C18" w:rsidTr="00364C18">
        <w:trPr>
          <w:trHeight w:val="310"/>
        </w:trPr>
        <w:tc>
          <w:tcPr>
            <w:tcW w:w="960" w:type="dxa"/>
            <w:tcBorders>
              <w:top w:val="nil"/>
              <w:left w:val="nil"/>
              <w:bottom w:val="single" w:sz="4" w:space="0" w:color="auto"/>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Docket</w:t>
            </w:r>
          </w:p>
        </w:tc>
        <w:tc>
          <w:tcPr>
            <w:tcW w:w="1460" w:type="dxa"/>
            <w:tcBorders>
              <w:top w:val="nil"/>
              <w:left w:val="nil"/>
              <w:bottom w:val="single" w:sz="4" w:space="0" w:color="auto"/>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Date</w:t>
            </w:r>
          </w:p>
        </w:tc>
        <w:tc>
          <w:tcPr>
            <w:tcW w:w="2020" w:type="dxa"/>
            <w:tcBorders>
              <w:top w:val="nil"/>
              <w:left w:val="nil"/>
              <w:bottom w:val="single" w:sz="4" w:space="0" w:color="auto"/>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(rounded)</w:t>
            </w:r>
          </w:p>
        </w:tc>
        <w:tc>
          <w:tcPr>
            <w:tcW w:w="2160" w:type="dxa"/>
            <w:tcBorders>
              <w:top w:val="nil"/>
              <w:left w:val="nil"/>
              <w:bottom w:val="single" w:sz="4" w:space="0" w:color="auto"/>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Securitized</w:t>
            </w:r>
          </w:p>
        </w:tc>
        <w:tc>
          <w:tcPr>
            <w:tcW w:w="1700" w:type="dxa"/>
            <w:tcBorders>
              <w:top w:val="nil"/>
              <w:left w:val="nil"/>
              <w:bottom w:val="single" w:sz="4" w:space="0" w:color="auto"/>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Payment Dates</w:t>
            </w:r>
          </w:p>
        </w:tc>
      </w:tr>
      <w:tr w:rsidR="00364C18" w:rsidRPr="00364C18" w:rsidTr="00364C18">
        <w:trPr>
          <w:trHeight w:val="310"/>
        </w:trPr>
        <w:tc>
          <w:tcPr>
            <w:tcW w:w="9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30485</w:t>
            </w:r>
            <w:r>
              <w:rPr>
                <w:rStyle w:val="FootnoteReference"/>
                <w:color w:val="000000"/>
                <w:sz w:val="24"/>
                <w:szCs w:val="24"/>
              </w:rPr>
              <w:footnoteReference w:id="17"/>
            </w:r>
          </w:p>
        </w:tc>
        <w:tc>
          <w:tcPr>
            <w:tcW w:w="14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Mar 2005</w:t>
            </w:r>
          </w:p>
        </w:tc>
        <w:tc>
          <w:tcPr>
            <w:tcW w:w="2020" w:type="dxa"/>
            <w:tcBorders>
              <w:top w:val="nil"/>
              <w:left w:val="nil"/>
              <w:bottom w:val="nil"/>
              <w:right w:val="nil"/>
            </w:tcBorders>
            <w:shd w:val="clear" w:color="auto" w:fill="auto"/>
            <w:noWrap/>
            <w:vAlign w:val="bottom"/>
            <w:hideMark/>
          </w:tcPr>
          <w:p w:rsidR="00364C18" w:rsidRPr="00364C18" w:rsidRDefault="00364C18" w:rsidP="00364C18">
            <w:pPr>
              <w:jc w:val="right"/>
              <w:rPr>
                <w:color w:val="000000"/>
                <w:sz w:val="24"/>
                <w:szCs w:val="24"/>
              </w:rPr>
            </w:pPr>
            <w:r w:rsidRPr="00364C18">
              <w:rPr>
                <w:color w:val="000000"/>
                <w:sz w:val="24"/>
                <w:szCs w:val="24"/>
              </w:rPr>
              <w:t>$1,851,000,000</w:t>
            </w:r>
          </w:p>
        </w:tc>
        <w:tc>
          <w:tcPr>
            <w:tcW w:w="21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Stranded/True-up</w:t>
            </w:r>
          </w:p>
        </w:tc>
        <w:tc>
          <w:tcPr>
            <w:tcW w:w="170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Aug 2019</w:t>
            </w:r>
          </w:p>
        </w:tc>
      </w:tr>
      <w:tr w:rsidR="00364C18" w:rsidRPr="00364C18" w:rsidTr="00364C18">
        <w:trPr>
          <w:trHeight w:val="310"/>
        </w:trPr>
        <w:tc>
          <w:tcPr>
            <w:tcW w:w="9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34448</w:t>
            </w:r>
            <w:r>
              <w:rPr>
                <w:rStyle w:val="FootnoteReference"/>
                <w:color w:val="000000"/>
                <w:sz w:val="24"/>
                <w:szCs w:val="24"/>
              </w:rPr>
              <w:footnoteReference w:id="18"/>
            </w:r>
          </w:p>
        </w:tc>
        <w:tc>
          <w:tcPr>
            <w:tcW w:w="14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Sept 2007</w:t>
            </w:r>
          </w:p>
        </w:tc>
        <w:tc>
          <w:tcPr>
            <w:tcW w:w="2020" w:type="dxa"/>
            <w:tcBorders>
              <w:top w:val="nil"/>
              <w:left w:val="nil"/>
              <w:bottom w:val="nil"/>
              <w:right w:val="nil"/>
            </w:tcBorders>
            <w:shd w:val="clear" w:color="auto" w:fill="auto"/>
            <w:noWrap/>
            <w:vAlign w:val="bottom"/>
            <w:hideMark/>
          </w:tcPr>
          <w:p w:rsidR="00364C18" w:rsidRPr="00364C18" w:rsidRDefault="00364C18" w:rsidP="00364C18">
            <w:pPr>
              <w:jc w:val="right"/>
              <w:rPr>
                <w:color w:val="000000"/>
                <w:sz w:val="24"/>
                <w:szCs w:val="24"/>
              </w:rPr>
            </w:pPr>
            <w:r w:rsidRPr="00364C18">
              <w:rPr>
                <w:color w:val="000000"/>
                <w:sz w:val="24"/>
                <w:szCs w:val="24"/>
              </w:rPr>
              <w:t>$488,000,000</w:t>
            </w:r>
          </w:p>
        </w:tc>
        <w:tc>
          <w:tcPr>
            <w:tcW w:w="21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Stranded/True-up</w:t>
            </w:r>
          </w:p>
        </w:tc>
        <w:tc>
          <w:tcPr>
            <w:tcW w:w="170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Feb 2020</w:t>
            </w:r>
          </w:p>
        </w:tc>
      </w:tr>
      <w:tr w:rsidR="00364C18" w:rsidRPr="00364C18" w:rsidTr="00364C18">
        <w:trPr>
          <w:trHeight w:val="310"/>
        </w:trPr>
        <w:tc>
          <w:tcPr>
            <w:tcW w:w="9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37200</w:t>
            </w:r>
            <w:r>
              <w:rPr>
                <w:rStyle w:val="FootnoteReference"/>
                <w:color w:val="000000"/>
                <w:sz w:val="24"/>
                <w:szCs w:val="24"/>
              </w:rPr>
              <w:footnoteReference w:id="19"/>
            </w:r>
          </w:p>
        </w:tc>
        <w:tc>
          <w:tcPr>
            <w:tcW w:w="14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Aug 2009</w:t>
            </w:r>
          </w:p>
        </w:tc>
        <w:tc>
          <w:tcPr>
            <w:tcW w:w="2020" w:type="dxa"/>
            <w:tcBorders>
              <w:top w:val="nil"/>
              <w:left w:val="nil"/>
              <w:bottom w:val="nil"/>
              <w:right w:val="nil"/>
            </w:tcBorders>
            <w:shd w:val="clear" w:color="auto" w:fill="auto"/>
            <w:noWrap/>
            <w:vAlign w:val="bottom"/>
            <w:hideMark/>
          </w:tcPr>
          <w:p w:rsidR="00364C18" w:rsidRPr="00364C18" w:rsidRDefault="00364C18" w:rsidP="00364C18">
            <w:pPr>
              <w:jc w:val="right"/>
              <w:rPr>
                <w:color w:val="000000"/>
                <w:sz w:val="24"/>
                <w:szCs w:val="24"/>
              </w:rPr>
            </w:pPr>
            <w:r w:rsidRPr="00364C18">
              <w:rPr>
                <w:color w:val="000000"/>
                <w:sz w:val="24"/>
                <w:szCs w:val="24"/>
              </w:rPr>
              <w:t>$665,000,000</w:t>
            </w:r>
          </w:p>
        </w:tc>
        <w:tc>
          <w:tcPr>
            <w:tcW w:w="21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System Restoration</w:t>
            </w:r>
          </w:p>
        </w:tc>
        <w:tc>
          <w:tcPr>
            <w:tcW w:w="170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Aug 2022</w:t>
            </w:r>
          </w:p>
        </w:tc>
      </w:tr>
      <w:tr w:rsidR="00364C18" w:rsidRPr="00364C18" w:rsidTr="00364C18">
        <w:trPr>
          <w:trHeight w:val="310"/>
        </w:trPr>
        <w:tc>
          <w:tcPr>
            <w:tcW w:w="9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39809</w:t>
            </w:r>
            <w:r>
              <w:rPr>
                <w:rStyle w:val="FootnoteReference"/>
                <w:color w:val="000000"/>
                <w:sz w:val="24"/>
                <w:szCs w:val="24"/>
              </w:rPr>
              <w:footnoteReference w:id="20"/>
            </w:r>
          </w:p>
        </w:tc>
        <w:tc>
          <w:tcPr>
            <w:tcW w:w="14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Oct 2011</w:t>
            </w:r>
          </w:p>
        </w:tc>
        <w:tc>
          <w:tcPr>
            <w:tcW w:w="2020" w:type="dxa"/>
            <w:tcBorders>
              <w:top w:val="nil"/>
              <w:left w:val="nil"/>
              <w:bottom w:val="nil"/>
              <w:right w:val="nil"/>
            </w:tcBorders>
            <w:shd w:val="clear" w:color="auto" w:fill="auto"/>
            <w:noWrap/>
            <w:vAlign w:val="bottom"/>
            <w:hideMark/>
          </w:tcPr>
          <w:p w:rsidR="00364C18" w:rsidRPr="00364C18" w:rsidRDefault="00364C18" w:rsidP="00364C18">
            <w:pPr>
              <w:jc w:val="right"/>
              <w:rPr>
                <w:color w:val="000000"/>
                <w:sz w:val="24"/>
                <w:szCs w:val="24"/>
              </w:rPr>
            </w:pPr>
            <w:r w:rsidRPr="00364C18">
              <w:rPr>
                <w:color w:val="000000"/>
                <w:sz w:val="24"/>
                <w:szCs w:val="24"/>
              </w:rPr>
              <w:t>$1,695,000,000</w:t>
            </w:r>
          </w:p>
        </w:tc>
        <w:tc>
          <w:tcPr>
            <w:tcW w:w="216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Stranded/True-up</w:t>
            </w:r>
          </w:p>
        </w:tc>
        <w:tc>
          <w:tcPr>
            <w:tcW w:w="1700" w:type="dxa"/>
            <w:tcBorders>
              <w:top w:val="nil"/>
              <w:left w:val="nil"/>
              <w:bottom w:val="nil"/>
              <w:right w:val="nil"/>
            </w:tcBorders>
            <w:shd w:val="clear" w:color="auto" w:fill="auto"/>
            <w:noWrap/>
            <w:vAlign w:val="bottom"/>
            <w:hideMark/>
          </w:tcPr>
          <w:p w:rsidR="00364C18" w:rsidRPr="00364C18" w:rsidRDefault="00364C18" w:rsidP="00364C18">
            <w:pPr>
              <w:jc w:val="center"/>
              <w:rPr>
                <w:color w:val="000000"/>
                <w:sz w:val="24"/>
                <w:szCs w:val="24"/>
              </w:rPr>
            </w:pPr>
            <w:r w:rsidRPr="00364C18">
              <w:rPr>
                <w:color w:val="000000"/>
                <w:sz w:val="24"/>
                <w:szCs w:val="24"/>
              </w:rPr>
              <w:t>Oct 2024</w:t>
            </w:r>
          </w:p>
        </w:tc>
      </w:tr>
    </w:tbl>
    <w:p w:rsidR="00D20B1B" w:rsidRDefault="00D20B1B" w:rsidP="00AE4608">
      <w:pPr>
        <w:pStyle w:val="FOFCOL"/>
        <w:tabs>
          <w:tab w:val="num" w:pos="1260"/>
        </w:tabs>
        <w:spacing w:before="0" w:line="480" w:lineRule="exact"/>
        <w:ind w:right="360"/>
      </w:pPr>
    </w:p>
    <w:p w:rsidR="00D20B1B" w:rsidRPr="00D21945" w:rsidRDefault="00D21945" w:rsidP="00AE4608">
      <w:pPr>
        <w:pStyle w:val="FOFCOL"/>
        <w:tabs>
          <w:tab w:val="num" w:pos="1260"/>
        </w:tabs>
        <w:spacing w:before="0" w:line="480" w:lineRule="exact"/>
        <w:ind w:right="360"/>
        <w:rPr>
          <w:b/>
        </w:rPr>
      </w:pPr>
      <w:r w:rsidRPr="00D21945">
        <w:rPr>
          <w:b/>
        </w:rPr>
        <w:t>Q.</w:t>
      </w:r>
      <w:r w:rsidRPr="00D21945">
        <w:rPr>
          <w:b/>
        </w:rPr>
        <w:tab/>
        <w:t xml:space="preserve">CEHE’s response to GCCC’s RFI 1-05 also refers to “deferred taxes associated with transition and system restoration bonds.”  Does the phrase “deferred taxes” </w:t>
      </w:r>
      <w:r>
        <w:rPr>
          <w:b/>
        </w:rPr>
        <w:t xml:space="preserve">in this context </w:t>
      </w:r>
      <w:r w:rsidRPr="00D21945">
        <w:rPr>
          <w:b/>
        </w:rPr>
        <w:t>refer to accumulated deferred federal income taxes (ADFIT)?</w:t>
      </w:r>
      <w:r w:rsidR="007D48BF">
        <w:rPr>
          <w:b/>
        </w:rPr>
        <w:t xml:space="preserve"> </w:t>
      </w:r>
    </w:p>
    <w:p w:rsidR="00E22303" w:rsidRPr="007E3EBD" w:rsidRDefault="00D21945" w:rsidP="007E3EBD">
      <w:pPr>
        <w:pStyle w:val="FOFCOL"/>
        <w:tabs>
          <w:tab w:val="num" w:pos="1260"/>
        </w:tabs>
        <w:spacing w:before="0" w:line="480" w:lineRule="exact"/>
        <w:ind w:right="360"/>
      </w:pPr>
      <w:r>
        <w:t>A.</w:t>
      </w:r>
      <w:r>
        <w:tab/>
        <w:t>Yes.</w:t>
      </w:r>
      <w:r w:rsidR="00E22303">
        <w:rPr>
          <w:b/>
        </w:rPr>
        <w:br w:type="page"/>
      </w:r>
    </w:p>
    <w:p w:rsidR="00504709" w:rsidRPr="00D20B1B" w:rsidRDefault="00504709" w:rsidP="00AE4608">
      <w:pPr>
        <w:pStyle w:val="FOFCOL"/>
        <w:tabs>
          <w:tab w:val="num" w:pos="1260"/>
        </w:tabs>
        <w:spacing w:before="0" w:line="480" w:lineRule="exact"/>
        <w:ind w:right="360"/>
        <w:rPr>
          <w:b/>
        </w:rPr>
      </w:pPr>
      <w:r w:rsidRPr="00D20B1B">
        <w:rPr>
          <w:b/>
        </w:rPr>
        <w:lastRenderedPageBreak/>
        <w:t>Q.</w:t>
      </w:r>
      <w:r w:rsidRPr="00D20B1B">
        <w:rPr>
          <w:b/>
        </w:rPr>
        <w:tab/>
      </w:r>
      <w:r>
        <w:rPr>
          <w:b/>
        </w:rPr>
        <w:t xml:space="preserve">Please provide a </w:t>
      </w:r>
      <w:r w:rsidR="00B079A9">
        <w:rPr>
          <w:b/>
        </w:rPr>
        <w:t>general discussion of</w:t>
      </w:r>
      <w:r>
        <w:rPr>
          <w:b/>
        </w:rPr>
        <w:t xml:space="preserve"> </w:t>
      </w:r>
      <w:r w:rsidR="00B079A9">
        <w:rPr>
          <w:b/>
        </w:rPr>
        <w:t>ADFIT.</w:t>
      </w:r>
    </w:p>
    <w:p w:rsidR="008C1C5C" w:rsidRDefault="00504709" w:rsidP="008C1C5C">
      <w:pPr>
        <w:pStyle w:val="FOFCOL"/>
        <w:tabs>
          <w:tab w:val="num" w:pos="1260"/>
        </w:tabs>
        <w:spacing w:before="0" w:line="480" w:lineRule="exact"/>
        <w:ind w:right="360"/>
      </w:pPr>
      <w:r>
        <w:t>A.</w:t>
      </w:r>
      <w:r>
        <w:tab/>
      </w:r>
      <w:r w:rsidR="00AE4608">
        <w:t>In my testimony in Docket No. 30485, I addressed the issue of ADFIT extensively.</w:t>
      </w:r>
      <w:r w:rsidR="00044FC8">
        <w:t xml:space="preserve">  For purposes of providing </w:t>
      </w:r>
      <w:r w:rsidR="00CC5CA9">
        <w:t xml:space="preserve">in this proceeding </w:t>
      </w:r>
      <w:r w:rsidR="00044FC8">
        <w:t xml:space="preserve">a more complete </w:t>
      </w:r>
      <w:r w:rsidR="009304BC">
        <w:t xml:space="preserve">reference and overall </w:t>
      </w:r>
      <w:r w:rsidR="00044FC8">
        <w:t>picture of the nature of ADFIT</w:t>
      </w:r>
      <w:r w:rsidR="008C1C5C">
        <w:t>,</w:t>
      </w:r>
      <w:r w:rsidR="00044FC8">
        <w:t xml:space="preserve"> and </w:t>
      </w:r>
      <w:r w:rsidR="008C1C5C">
        <w:t xml:space="preserve">to illustrate </w:t>
      </w:r>
      <w:r w:rsidR="00044FC8">
        <w:t xml:space="preserve">the </w:t>
      </w:r>
      <w:r w:rsidR="00CC5CA9">
        <w:t xml:space="preserve">detailed and financially material </w:t>
      </w:r>
      <w:r w:rsidR="00044FC8">
        <w:t xml:space="preserve">role it </w:t>
      </w:r>
      <w:r w:rsidR="00CC5CA9">
        <w:t xml:space="preserve">has </w:t>
      </w:r>
      <w:r w:rsidR="00044FC8">
        <w:t xml:space="preserve">played in </w:t>
      </w:r>
      <w:r w:rsidR="00CC5CA9">
        <w:t xml:space="preserve">the context of past </w:t>
      </w:r>
      <w:r w:rsidR="00044FC8">
        <w:t xml:space="preserve">securitized bond transactions, I have included </w:t>
      </w:r>
      <w:r w:rsidR="008A3AB8">
        <w:t xml:space="preserve">in </w:t>
      </w:r>
      <w:r w:rsidR="00E76192">
        <w:t xml:space="preserve">my </w:t>
      </w:r>
      <w:r w:rsidR="008A3AB8">
        <w:t>workpapers</w:t>
      </w:r>
      <w:r w:rsidR="00E76192">
        <w:t xml:space="preserve"> </w:t>
      </w:r>
      <w:r w:rsidR="00044FC8">
        <w:t xml:space="preserve">a </w:t>
      </w:r>
      <w:r w:rsidR="00E76192">
        <w:t xml:space="preserve">complete </w:t>
      </w:r>
      <w:r w:rsidR="00044FC8">
        <w:t>copy of</w:t>
      </w:r>
      <w:r w:rsidR="00CC5CA9">
        <w:t xml:space="preserve"> my </w:t>
      </w:r>
      <w:r w:rsidR="00E76192">
        <w:t xml:space="preserve">testimony in </w:t>
      </w:r>
      <w:r w:rsidR="00CC5CA9">
        <w:t>Docket No. 30485.</w:t>
      </w:r>
      <w:r w:rsidR="00044FC8">
        <w:t xml:space="preserve"> </w:t>
      </w:r>
      <w:r w:rsidR="00AE4608">
        <w:t xml:space="preserve"> Below are excerpts </w:t>
      </w:r>
      <w:r w:rsidR="009304BC">
        <w:t xml:space="preserve">of particular relevance </w:t>
      </w:r>
      <w:r w:rsidR="00AE4608">
        <w:t>from that testimony.</w:t>
      </w:r>
      <w:r w:rsidR="00AE4608">
        <w:tab/>
      </w:r>
    </w:p>
    <w:p w:rsidR="001B5229" w:rsidRDefault="008C1C5C" w:rsidP="001B5229">
      <w:pPr>
        <w:pStyle w:val="FOFCOL"/>
        <w:tabs>
          <w:tab w:val="num" w:pos="1260"/>
        </w:tabs>
        <w:spacing w:before="0" w:line="240" w:lineRule="auto"/>
        <w:ind w:right="360"/>
      </w:pPr>
      <w:r>
        <w:tab/>
      </w:r>
    </w:p>
    <w:p w:rsidR="00AE4608" w:rsidRDefault="001B5229" w:rsidP="00AE4608">
      <w:pPr>
        <w:pStyle w:val="FOFCOL"/>
        <w:tabs>
          <w:tab w:val="num" w:pos="1260"/>
        </w:tabs>
        <w:spacing w:before="0" w:line="480" w:lineRule="exact"/>
        <w:ind w:right="360"/>
      </w:pPr>
      <w:r>
        <w:tab/>
      </w:r>
      <w:r w:rsidR="00AE4608">
        <w:t>From page 11:</w:t>
      </w:r>
    </w:p>
    <w:p w:rsidR="00AE4608" w:rsidRDefault="00AE4608" w:rsidP="00AE4608">
      <w:pPr>
        <w:ind w:left="720" w:right="720" w:hanging="720"/>
        <w:jc w:val="both"/>
      </w:pPr>
      <w:r>
        <w:tab/>
      </w:r>
    </w:p>
    <w:p w:rsidR="00AE4608" w:rsidRDefault="00AE4608" w:rsidP="00EC7368">
      <w:pPr>
        <w:ind w:left="720" w:right="720" w:firstLine="720"/>
        <w:jc w:val="both"/>
        <w:rPr>
          <w:b/>
          <w:sz w:val="24"/>
        </w:rPr>
      </w:pPr>
      <w:r>
        <w:rPr>
          <w:b/>
          <w:sz w:val="24"/>
        </w:rPr>
        <w:t>Q.</w:t>
      </w:r>
      <w:r>
        <w:rPr>
          <w:b/>
          <w:sz w:val="24"/>
        </w:rPr>
        <w:tab/>
        <w:t>Please briefly explain how ADFIT balances are created.</w:t>
      </w:r>
    </w:p>
    <w:p w:rsidR="00AE4608" w:rsidRDefault="00AE4608" w:rsidP="00EC7368">
      <w:pPr>
        <w:ind w:left="2160" w:right="720" w:hanging="720"/>
        <w:jc w:val="both"/>
        <w:rPr>
          <w:rFonts w:ascii="Times New (W1)" w:hAnsi="Times New (W1)"/>
          <w:sz w:val="24"/>
        </w:rPr>
      </w:pPr>
      <w:r>
        <w:rPr>
          <w:sz w:val="24"/>
        </w:rPr>
        <w:t>A.</w:t>
      </w:r>
      <w:r>
        <w:rPr>
          <w:sz w:val="24"/>
        </w:rPr>
        <w:tab/>
      </w:r>
      <w:r>
        <w:rPr>
          <w:rFonts w:ascii="Times New (W1)" w:hAnsi="Times New (W1)"/>
          <w:sz w:val="24"/>
        </w:rPr>
        <w:t>Accumulated deferred income tax liabilities represent amounts that are payable to the government.  These amounts arise because there is a difference between the Company’s income for accounting purposes and the income it uses to determine its taxes for federal taxation purposes.  The major element of ADFIT liabilities typically results from the use of accelerated depreciation of a company’s assets for tax purposes.  Because the depreciation on an accelerated basis is tax deductible, it creates a difference between the taxes reported on the company’s books and the taxes currently payable to the government.</w:t>
      </w:r>
    </w:p>
    <w:p w:rsidR="00AE4608" w:rsidRDefault="00AE4608" w:rsidP="001B5229">
      <w:pPr>
        <w:pStyle w:val="FOFCOL"/>
        <w:tabs>
          <w:tab w:val="num" w:pos="1260"/>
        </w:tabs>
        <w:spacing w:before="0" w:line="480" w:lineRule="exact"/>
        <w:ind w:right="720"/>
      </w:pPr>
    </w:p>
    <w:p w:rsidR="00AE4608" w:rsidRDefault="00AE4608" w:rsidP="00AE4608">
      <w:pPr>
        <w:pStyle w:val="FOFCOL"/>
        <w:tabs>
          <w:tab w:val="num" w:pos="1260"/>
        </w:tabs>
        <w:spacing w:before="0" w:line="240" w:lineRule="auto"/>
        <w:ind w:right="720"/>
      </w:pPr>
      <w:r>
        <w:tab/>
        <w:t>From page</w:t>
      </w:r>
      <w:r w:rsidR="008C020D">
        <w:t xml:space="preserve">s 12 – 13  </w:t>
      </w:r>
      <w:r w:rsidR="00B2775A">
        <w:t xml:space="preserve"> (footnotes</w:t>
      </w:r>
      <w:r w:rsidR="00CC5CA9">
        <w:t xml:space="preserve"> from original</w:t>
      </w:r>
      <w:r w:rsidR="00B2775A">
        <w:t xml:space="preserve"> omitted)</w:t>
      </w:r>
      <w:r>
        <w:t>:</w:t>
      </w:r>
    </w:p>
    <w:p w:rsidR="00D21945" w:rsidRDefault="00D21945" w:rsidP="00AE4608">
      <w:pPr>
        <w:pStyle w:val="FOFCOL"/>
        <w:tabs>
          <w:tab w:val="num" w:pos="1260"/>
        </w:tabs>
        <w:spacing w:before="0" w:line="240" w:lineRule="auto"/>
        <w:ind w:right="720"/>
      </w:pPr>
    </w:p>
    <w:p w:rsidR="00AE4608" w:rsidRDefault="00AE4608" w:rsidP="00AE4608">
      <w:pPr>
        <w:ind w:left="2160" w:right="720" w:hanging="720"/>
        <w:jc w:val="both"/>
        <w:rPr>
          <w:b/>
          <w:sz w:val="24"/>
        </w:rPr>
      </w:pPr>
      <w:r>
        <w:rPr>
          <w:b/>
          <w:sz w:val="24"/>
        </w:rPr>
        <w:t>Q.</w:t>
      </w:r>
      <w:r>
        <w:rPr>
          <w:b/>
          <w:sz w:val="24"/>
        </w:rPr>
        <w:tab/>
        <w:t xml:space="preserve">Can you clarify the distinction between ADFIT </w:t>
      </w:r>
      <w:r>
        <w:rPr>
          <w:b/>
          <w:i/>
          <w:iCs/>
          <w:sz w:val="24"/>
        </w:rPr>
        <w:t xml:space="preserve">balances </w:t>
      </w:r>
      <w:r>
        <w:rPr>
          <w:b/>
          <w:sz w:val="24"/>
        </w:rPr>
        <w:t xml:space="preserve">and ADFIT </w:t>
      </w:r>
      <w:r>
        <w:rPr>
          <w:b/>
          <w:i/>
          <w:iCs/>
          <w:sz w:val="24"/>
        </w:rPr>
        <w:t>benefits</w:t>
      </w:r>
      <w:r>
        <w:rPr>
          <w:b/>
          <w:sz w:val="24"/>
        </w:rPr>
        <w:t>?</w:t>
      </w:r>
    </w:p>
    <w:p w:rsidR="00AE4608" w:rsidRDefault="00AE4608" w:rsidP="00B2775A">
      <w:pPr>
        <w:pStyle w:val="BlockText"/>
        <w:ind w:left="2160" w:hanging="720"/>
        <w:jc w:val="both"/>
        <w:rPr>
          <w:bCs/>
        </w:rPr>
      </w:pPr>
      <w:r>
        <w:rPr>
          <w:bCs/>
        </w:rPr>
        <w:t>A.</w:t>
      </w:r>
      <w:r>
        <w:rPr>
          <w:bCs/>
        </w:rPr>
        <w:tab/>
        <w:t xml:space="preserve">Yes.  As described above, ADFIT </w:t>
      </w:r>
      <w:r w:rsidRPr="001D463D">
        <w:rPr>
          <w:bCs/>
          <w:i/>
        </w:rPr>
        <w:t xml:space="preserve">balances </w:t>
      </w:r>
      <w:r>
        <w:rPr>
          <w:bCs/>
        </w:rPr>
        <w:t xml:space="preserve">consist of the funds reflected on a company’s books that are payable to the government for tax liabilities.  Until these liabilities are paid, however, the company has the use of these funds.  </w:t>
      </w:r>
    </w:p>
    <w:p w:rsidR="00AE4608" w:rsidRDefault="00AE4608" w:rsidP="00AE4608">
      <w:pPr>
        <w:pStyle w:val="FOFCOL"/>
        <w:tabs>
          <w:tab w:val="num" w:pos="1260"/>
        </w:tabs>
        <w:spacing w:before="0" w:line="240" w:lineRule="auto"/>
        <w:ind w:left="2160" w:right="720" w:hanging="2160"/>
      </w:pPr>
      <w:r>
        <w:rPr>
          <w:bCs/>
        </w:rPr>
        <w:tab/>
      </w:r>
      <w:r>
        <w:rPr>
          <w:bCs/>
        </w:rPr>
        <w:tab/>
      </w:r>
      <w:r>
        <w:rPr>
          <w:bCs/>
        </w:rPr>
        <w:tab/>
        <w:t xml:space="preserve">When I refer to ADFIT </w:t>
      </w:r>
      <w:r>
        <w:rPr>
          <w:bCs/>
          <w:i/>
          <w:iCs/>
        </w:rPr>
        <w:t>benefits</w:t>
      </w:r>
      <w:r>
        <w:rPr>
          <w:bCs/>
        </w:rPr>
        <w:t xml:space="preserve">, I am referring to the value that can be created by putting the ADFIT balances to use—in other words, I am essentially referring to the time value of money on the ADFIT balances.  For example, if I have $100 in my possession that I owe to the government, but because of tax laws I am not obligated to make the payment until one year from now, I can invest that $100 balance for one year in a savings account and earn, say, 8%, or $8.  In this situation, the deferred tax-liability </w:t>
      </w:r>
      <w:r>
        <w:rPr>
          <w:bCs/>
          <w:i/>
          <w:iCs/>
        </w:rPr>
        <w:t>balance</w:t>
      </w:r>
      <w:r>
        <w:rPr>
          <w:bCs/>
        </w:rPr>
        <w:t xml:space="preserve"> is $100, while the related </w:t>
      </w:r>
      <w:r>
        <w:rPr>
          <w:bCs/>
          <w:i/>
          <w:iCs/>
        </w:rPr>
        <w:t>benefit</w:t>
      </w:r>
      <w:r>
        <w:rPr>
          <w:bCs/>
        </w:rPr>
        <w:t xml:space="preserve"> that results from my being able to use the funds is $8.</w:t>
      </w:r>
    </w:p>
    <w:p w:rsidR="00AE4608" w:rsidRDefault="00AE4608" w:rsidP="00AE4608">
      <w:pPr>
        <w:pStyle w:val="FOFCOL"/>
        <w:tabs>
          <w:tab w:val="num" w:pos="1260"/>
        </w:tabs>
        <w:spacing w:before="0" w:line="240" w:lineRule="auto"/>
        <w:ind w:right="720"/>
      </w:pPr>
    </w:p>
    <w:p w:rsidR="001B5229" w:rsidRDefault="001B5229" w:rsidP="00AE4608">
      <w:pPr>
        <w:pStyle w:val="FOFCOL"/>
        <w:tabs>
          <w:tab w:val="num" w:pos="1260"/>
        </w:tabs>
        <w:spacing w:before="0" w:line="240" w:lineRule="auto"/>
        <w:ind w:right="720"/>
      </w:pPr>
    </w:p>
    <w:p w:rsidR="00AE4608" w:rsidRDefault="00AE4608" w:rsidP="00AE4608">
      <w:pPr>
        <w:pStyle w:val="FOFCOL"/>
        <w:tabs>
          <w:tab w:val="num" w:pos="1260"/>
        </w:tabs>
        <w:spacing w:before="0" w:line="240" w:lineRule="auto"/>
        <w:ind w:right="720"/>
      </w:pPr>
      <w:r>
        <w:lastRenderedPageBreak/>
        <w:tab/>
        <w:t>From page</w:t>
      </w:r>
      <w:r w:rsidR="0077430D">
        <w:t>s</w:t>
      </w:r>
      <w:r>
        <w:t xml:space="preserve"> 13</w:t>
      </w:r>
      <w:r w:rsidR="0077430D">
        <w:t xml:space="preserve"> – 14</w:t>
      </w:r>
      <w:r w:rsidR="00CC5CA9">
        <w:t xml:space="preserve"> (footnotes from original omitted)</w:t>
      </w:r>
      <w:r w:rsidR="0077430D">
        <w:t>:</w:t>
      </w:r>
    </w:p>
    <w:p w:rsidR="00B2775A" w:rsidRDefault="00B2775A" w:rsidP="00AE4608">
      <w:pPr>
        <w:ind w:left="2160" w:right="720" w:hanging="720"/>
        <w:jc w:val="both"/>
        <w:rPr>
          <w:b/>
          <w:sz w:val="24"/>
        </w:rPr>
      </w:pPr>
    </w:p>
    <w:p w:rsidR="00AE4608" w:rsidRDefault="00AE4608" w:rsidP="00AE4608">
      <w:pPr>
        <w:ind w:left="2160" w:right="720" w:hanging="720"/>
        <w:jc w:val="both"/>
        <w:rPr>
          <w:b/>
          <w:sz w:val="24"/>
        </w:rPr>
      </w:pPr>
      <w:r>
        <w:rPr>
          <w:b/>
          <w:sz w:val="24"/>
        </w:rPr>
        <w:t>Q.</w:t>
      </w:r>
      <w:r>
        <w:rPr>
          <w:b/>
          <w:sz w:val="24"/>
        </w:rPr>
        <w:tab/>
        <w:t xml:space="preserve">Please describe more specifically how ADFIT balances provide </w:t>
      </w:r>
      <w:r>
        <w:rPr>
          <w:b/>
          <w:iCs/>
          <w:sz w:val="24"/>
        </w:rPr>
        <w:t>benefits to a regulated utility company</w:t>
      </w:r>
      <w:r>
        <w:rPr>
          <w:b/>
          <w:sz w:val="24"/>
        </w:rPr>
        <w:t>.</w:t>
      </w:r>
    </w:p>
    <w:p w:rsidR="00AE4608" w:rsidRDefault="00AE4608" w:rsidP="00AE4608">
      <w:pPr>
        <w:ind w:left="2160" w:right="720" w:hanging="720"/>
        <w:jc w:val="both"/>
        <w:rPr>
          <w:sz w:val="24"/>
        </w:rPr>
      </w:pPr>
      <w:r>
        <w:rPr>
          <w:sz w:val="24"/>
        </w:rPr>
        <w:t>A.</w:t>
      </w:r>
      <w:r>
        <w:rPr>
          <w:sz w:val="24"/>
        </w:rPr>
        <w:tab/>
        <w:t xml:space="preserve">ADFIT balances provide benefits to a regulated company because these amounts are traditionally considered to be </w:t>
      </w:r>
      <w:r>
        <w:rPr>
          <w:i/>
          <w:sz w:val="24"/>
        </w:rPr>
        <w:t xml:space="preserve">cost-free </w:t>
      </w:r>
      <w:r>
        <w:rPr>
          <w:sz w:val="24"/>
        </w:rPr>
        <w:t xml:space="preserve">capital to the company.  This is because, as noted above, ADFIT balances consist of a regulated company’s tax-expense amounts that are currently received, but which are not currently payable.  Thus, the company can use these funds on a cost-free basis until they are ultimately paid as income taxes to the federal government.  As with any form of capital, the ADFIT can be employed to fund the company’s operations; thus, the use of the ADFIT provides economic value.  But—and this is the key point—because the ADFIT amount has not been contributed by investors who require a rate of return, a value or benefit is created as a result of the company being able to use the cost-free ADFIT as a </w:t>
      </w:r>
      <w:r>
        <w:rPr>
          <w:i/>
          <w:sz w:val="24"/>
        </w:rPr>
        <w:t xml:space="preserve">substitute </w:t>
      </w:r>
      <w:r>
        <w:rPr>
          <w:sz w:val="24"/>
        </w:rPr>
        <w:t xml:space="preserve">for other capital that would otherwise need to be provided by investors who </w:t>
      </w:r>
      <w:r>
        <w:rPr>
          <w:i/>
          <w:sz w:val="24"/>
        </w:rPr>
        <w:t xml:space="preserve">do </w:t>
      </w:r>
      <w:r>
        <w:rPr>
          <w:sz w:val="24"/>
        </w:rPr>
        <w:t xml:space="preserve">require a rate of return.  </w:t>
      </w:r>
    </w:p>
    <w:p w:rsidR="00881CBA" w:rsidRDefault="00881CBA" w:rsidP="00CC5CA9">
      <w:pPr>
        <w:pStyle w:val="FOFCOL"/>
        <w:tabs>
          <w:tab w:val="num" w:pos="1260"/>
        </w:tabs>
        <w:spacing w:before="0" w:line="240" w:lineRule="auto"/>
        <w:ind w:right="720"/>
      </w:pPr>
    </w:p>
    <w:p w:rsidR="0077430D" w:rsidRDefault="0077430D" w:rsidP="0077430D">
      <w:pPr>
        <w:ind w:left="2160" w:right="720" w:hanging="720"/>
        <w:jc w:val="both"/>
        <w:rPr>
          <w:b/>
          <w:sz w:val="24"/>
        </w:rPr>
      </w:pPr>
      <w:r>
        <w:rPr>
          <w:b/>
          <w:sz w:val="24"/>
        </w:rPr>
        <w:t>Q.</w:t>
      </w:r>
      <w:r>
        <w:rPr>
          <w:b/>
          <w:sz w:val="24"/>
        </w:rPr>
        <w:tab/>
        <w:t>In the traditional determination of a regulated revenue requirement, how do regulatory bodies typically reflect the benefits of cost-free ADFIT capital?</w:t>
      </w:r>
    </w:p>
    <w:p w:rsidR="0077430D" w:rsidRDefault="0077430D" w:rsidP="0077430D">
      <w:pPr>
        <w:ind w:left="2160" w:right="720" w:hanging="720"/>
        <w:jc w:val="both"/>
        <w:rPr>
          <w:sz w:val="24"/>
        </w:rPr>
      </w:pPr>
      <w:r>
        <w:rPr>
          <w:sz w:val="24"/>
        </w:rPr>
        <w:t>A.</w:t>
      </w:r>
      <w:r>
        <w:rPr>
          <w:sz w:val="24"/>
        </w:rPr>
        <w:tab/>
        <w:t>In a traditional cost-of-service rate proceeding, the benefits of cost-free ADFIT are realized by subtracting the ADFIT balance from the company’s return-earning rate base.  In this way, ratepayers effectively receive the benefit of the cost-free capital by paying a reduced amount of return dollars, with the reduction being equivalent to the company’s rate of return—</w:t>
      </w:r>
      <w:r w:rsidRPr="009066DD">
        <w:rPr>
          <w:i/>
          <w:sz w:val="24"/>
        </w:rPr>
        <w:t>i.e.</w:t>
      </w:r>
      <w:r>
        <w:rPr>
          <w:sz w:val="24"/>
        </w:rPr>
        <w:t xml:space="preserve">, its weighted average cost of capital, or WACC—multiplied by its ADFIT balance.  </w:t>
      </w:r>
    </w:p>
    <w:p w:rsidR="0077430D" w:rsidRDefault="0077430D" w:rsidP="0077430D">
      <w:pPr>
        <w:ind w:left="720" w:right="720" w:hanging="720"/>
        <w:jc w:val="both"/>
        <w:rPr>
          <w:b/>
          <w:sz w:val="24"/>
        </w:rPr>
      </w:pPr>
    </w:p>
    <w:p w:rsidR="0077430D" w:rsidRDefault="0077430D" w:rsidP="0077430D">
      <w:pPr>
        <w:ind w:left="2160" w:right="720" w:hanging="900"/>
        <w:jc w:val="both"/>
        <w:rPr>
          <w:b/>
          <w:sz w:val="24"/>
        </w:rPr>
      </w:pPr>
      <w:r>
        <w:rPr>
          <w:b/>
          <w:sz w:val="24"/>
        </w:rPr>
        <w:t>Q.</w:t>
      </w:r>
      <w:r>
        <w:rPr>
          <w:b/>
          <w:sz w:val="24"/>
        </w:rPr>
        <w:tab/>
        <w:t>You have described how ratepayers traditionally realize the benefits of cost-free ADFIT balances.  Does the utility company still receive its regulated rate of return</w:t>
      </w:r>
      <w:r w:rsidR="008A2524">
        <w:rPr>
          <w:b/>
          <w:sz w:val="24"/>
        </w:rPr>
        <w:t>*</w:t>
      </w:r>
      <w:r>
        <w:rPr>
          <w:b/>
          <w:sz w:val="24"/>
        </w:rPr>
        <w:t xml:space="preserve"> if the benefits of cost-free capital are flowed through to ratepayers?</w:t>
      </w:r>
    </w:p>
    <w:p w:rsidR="0077430D" w:rsidRDefault="0077430D" w:rsidP="0077430D">
      <w:pPr>
        <w:pStyle w:val="FOFCOL"/>
        <w:tabs>
          <w:tab w:val="num" w:pos="1260"/>
        </w:tabs>
        <w:spacing w:before="0" w:line="240" w:lineRule="auto"/>
        <w:ind w:left="2160" w:right="720" w:hanging="2160"/>
      </w:pPr>
      <w:r>
        <w:tab/>
        <w:t>A.</w:t>
      </w:r>
      <w:r>
        <w:tab/>
        <w:t xml:space="preserve">Yes.  There are two basic ways in which a company can realize the benefits of cost-free ADFIT.  The first way is to use the cost-free ADFIT to pay off existing providers of capital (such as debt and equity holders), and the second way is to use the ADFIT amounts as a source of funds for new investments and projects, thereby eliminating or reducing the need to issue additional debt and/or equity.  In either instance, the company realizes the benefits of cost-free ADFIT by effectively “avoiding” the costs of capital that would otherwise be imposed by traditional providers of debt and equity capital for the use of their funds.  Therefore, even though the cost-free effects of ADFIT capital are flowed through to ratepayers, the company has avoided having to pay an equivalent amount of capital </w:t>
      </w:r>
      <w:r>
        <w:lastRenderedPageBreak/>
        <w:t>costs.  For the company’s existing traditional capital providers, the net effect is that they still receive their authorized regulated rate of return.</w:t>
      </w:r>
    </w:p>
    <w:p w:rsidR="008A2524" w:rsidRDefault="008A2524" w:rsidP="0077430D">
      <w:pPr>
        <w:pStyle w:val="FOFCOL"/>
        <w:tabs>
          <w:tab w:val="num" w:pos="1260"/>
        </w:tabs>
        <w:spacing w:before="0" w:line="240" w:lineRule="auto"/>
        <w:ind w:left="2160" w:right="720" w:hanging="2160"/>
      </w:pPr>
    </w:p>
    <w:p w:rsidR="008A2524" w:rsidRPr="008A2524" w:rsidRDefault="008A2524" w:rsidP="0077430D">
      <w:pPr>
        <w:pStyle w:val="FOFCOL"/>
        <w:tabs>
          <w:tab w:val="num" w:pos="1260"/>
        </w:tabs>
        <w:spacing w:before="0" w:line="240" w:lineRule="auto"/>
        <w:ind w:left="2160" w:right="720" w:hanging="2160"/>
        <w:rPr>
          <w:sz w:val="20"/>
        </w:rPr>
      </w:pPr>
      <w:r>
        <w:tab/>
      </w:r>
      <w:r>
        <w:tab/>
        <w:t xml:space="preserve">* </w:t>
      </w:r>
      <w:r w:rsidRPr="008A2524">
        <w:rPr>
          <w:sz w:val="20"/>
        </w:rPr>
        <w:t xml:space="preserve">Strictly speaking, the regulated company has the </w:t>
      </w:r>
      <w:r w:rsidRPr="008A2524">
        <w:rPr>
          <w:i/>
          <w:sz w:val="20"/>
        </w:rPr>
        <w:t xml:space="preserve">opportunity </w:t>
      </w:r>
      <w:r w:rsidRPr="008A2524">
        <w:rPr>
          <w:sz w:val="20"/>
        </w:rPr>
        <w:t>to receive its regulated rate of return.</w:t>
      </w:r>
    </w:p>
    <w:p w:rsidR="0077430D" w:rsidRDefault="0077430D" w:rsidP="00464D12">
      <w:pPr>
        <w:pStyle w:val="FOFCOL"/>
        <w:tabs>
          <w:tab w:val="num" w:pos="1260"/>
        </w:tabs>
        <w:spacing w:before="0" w:line="240" w:lineRule="auto"/>
        <w:ind w:right="720"/>
      </w:pPr>
    </w:p>
    <w:p w:rsidR="00681010" w:rsidRPr="00D20B1B" w:rsidRDefault="00681010" w:rsidP="00681010">
      <w:pPr>
        <w:pStyle w:val="FOFCOL"/>
        <w:tabs>
          <w:tab w:val="num" w:pos="1260"/>
        </w:tabs>
        <w:spacing w:before="0" w:line="480" w:lineRule="exact"/>
        <w:ind w:right="360"/>
        <w:rPr>
          <w:b/>
        </w:rPr>
      </w:pPr>
      <w:r>
        <w:rPr>
          <w:b/>
        </w:rPr>
        <w:t>Q.</w:t>
      </w:r>
      <w:r>
        <w:rPr>
          <w:b/>
        </w:rPr>
        <w:tab/>
      </w:r>
      <w:r w:rsidR="00683DA2">
        <w:rPr>
          <w:b/>
        </w:rPr>
        <w:t>In the four proceedings related to CEHE’s securitized bond transactions, h</w:t>
      </w:r>
      <w:r>
        <w:rPr>
          <w:b/>
        </w:rPr>
        <w:t xml:space="preserve">ow has the Commission reflected the </w:t>
      </w:r>
      <w:r w:rsidR="00E76192">
        <w:rPr>
          <w:b/>
        </w:rPr>
        <w:t xml:space="preserve">amounts </w:t>
      </w:r>
      <w:r>
        <w:rPr>
          <w:b/>
        </w:rPr>
        <w:t>of ADFIT</w:t>
      </w:r>
      <w:r w:rsidR="00E76192">
        <w:rPr>
          <w:b/>
        </w:rPr>
        <w:t xml:space="preserve"> benefits associated with the relevant ADFIT balances</w:t>
      </w:r>
      <w:r>
        <w:rPr>
          <w:b/>
        </w:rPr>
        <w:t>?</w:t>
      </w:r>
    </w:p>
    <w:p w:rsidR="00E679FD" w:rsidRDefault="00681010" w:rsidP="001540E3">
      <w:pPr>
        <w:pStyle w:val="FOFCOL"/>
        <w:tabs>
          <w:tab w:val="num" w:pos="1260"/>
        </w:tabs>
        <w:spacing w:before="0" w:line="480" w:lineRule="exact"/>
        <w:ind w:right="360"/>
      </w:pPr>
      <w:r>
        <w:t>A.</w:t>
      </w:r>
      <w:r w:rsidR="00EC2A4E">
        <w:tab/>
      </w:r>
      <w:r>
        <w:t>In the four CEHE securitization dockets listed above, the</w:t>
      </w:r>
      <w:r w:rsidR="00B079A9">
        <w:t xml:space="preserve"> Commission</w:t>
      </w:r>
      <w:r w:rsidR="00683DA2">
        <w:t xml:space="preserve"> has used different ways of reflecting ADFIT benefits</w:t>
      </w:r>
      <w:r>
        <w:t xml:space="preserve">.  </w:t>
      </w:r>
      <w:r w:rsidR="00ED2453">
        <w:t xml:space="preserve">In Docket No. 30485, </w:t>
      </w:r>
      <w:r w:rsidR="00683DA2">
        <w:t xml:space="preserve">for example, </w:t>
      </w:r>
      <w:r w:rsidR="00ED2453">
        <w:t xml:space="preserve">the </w:t>
      </w:r>
      <w:r w:rsidR="00187FA5">
        <w:t xml:space="preserve">Commission </w:t>
      </w:r>
      <w:r w:rsidR="00ED2453">
        <w:t xml:space="preserve">determined </w:t>
      </w:r>
      <w:r w:rsidR="00E679FD">
        <w:t xml:space="preserve">a </w:t>
      </w:r>
      <w:r w:rsidR="00E679FD" w:rsidRPr="00B079A9">
        <w:t>$31</w:t>
      </w:r>
      <w:r w:rsidR="008C1C5C">
        <w:t>4 million</w:t>
      </w:r>
      <w:r w:rsidR="00E679FD">
        <w:t xml:space="preserve"> </w:t>
      </w:r>
      <w:r w:rsidR="00E679FD" w:rsidRPr="0077430D">
        <w:rPr>
          <w:i/>
        </w:rPr>
        <w:t>present-</w:t>
      </w:r>
      <w:r w:rsidR="00ED2453" w:rsidRPr="0077430D">
        <w:rPr>
          <w:i/>
        </w:rPr>
        <w:t>value</w:t>
      </w:r>
      <w:r w:rsidR="00ED2453">
        <w:t xml:space="preserve"> </w:t>
      </w:r>
      <w:r w:rsidR="00E679FD">
        <w:t xml:space="preserve">amount </w:t>
      </w:r>
      <w:r w:rsidR="00187FA5">
        <w:t>of ADFIT benefits</w:t>
      </w:r>
      <w:r w:rsidR="00ED2453">
        <w:t xml:space="preserve"> related to CEHE’s stranded costs</w:t>
      </w:r>
      <w:r w:rsidR="00683DA2">
        <w:t>,</w:t>
      </w:r>
      <w:r w:rsidR="00ED2453">
        <w:t xml:space="preserve"> and </w:t>
      </w:r>
      <w:r w:rsidR="00683DA2">
        <w:t xml:space="preserve">then </w:t>
      </w:r>
      <w:r w:rsidR="00ED2453">
        <w:t>used that amount as a lump-sum offset to other recoverable “true-up”</w:t>
      </w:r>
      <w:r w:rsidR="00E24F30">
        <w:rPr>
          <w:rStyle w:val="FootnoteReference"/>
        </w:rPr>
        <w:footnoteReference w:id="21"/>
      </w:r>
      <w:r w:rsidR="00ED2453">
        <w:t xml:space="preserve"> balances that were initially recovered through a “competition transition charge” (CTC)</w:t>
      </w:r>
      <w:r w:rsidR="00E679FD">
        <w:t>.</w:t>
      </w:r>
      <w:r w:rsidR="00E24F30">
        <w:rPr>
          <w:rStyle w:val="FootnoteReference"/>
        </w:rPr>
        <w:footnoteReference w:id="22"/>
      </w:r>
      <w:r w:rsidR="00E679FD">
        <w:t xml:space="preserve">  </w:t>
      </w:r>
      <w:r w:rsidR="00683DA2">
        <w:t xml:space="preserve">CEHE recovered this CTC in a </w:t>
      </w:r>
      <w:r w:rsidR="00683DA2" w:rsidRPr="00683DA2">
        <w:rPr>
          <w:i/>
        </w:rPr>
        <w:t>non</w:t>
      </w:r>
      <w:r w:rsidR="00683DA2">
        <w:t xml:space="preserve">-securitized form of recovery until </w:t>
      </w:r>
      <w:r w:rsidR="00ED2453">
        <w:t>the Texas legislature</w:t>
      </w:r>
      <w:r w:rsidR="0089748E">
        <w:t>, in 2007,</w:t>
      </w:r>
      <w:r w:rsidR="00ED2453">
        <w:t xml:space="preserve"> authorized </w:t>
      </w:r>
      <w:r w:rsidR="00ED2453" w:rsidRPr="00ED2453">
        <w:rPr>
          <w:i/>
        </w:rPr>
        <w:t>securitized</w:t>
      </w:r>
      <w:r w:rsidR="00ED2453">
        <w:t xml:space="preserve"> recovery</w:t>
      </w:r>
      <w:r w:rsidR="00E679FD">
        <w:t xml:space="preserve"> of CTC amounts</w:t>
      </w:r>
      <w:r w:rsidR="0089748E">
        <w:t xml:space="preserve">.  Subsequently, </w:t>
      </w:r>
      <w:r w:rsidR="00ED2453">
        <w:t xml:space="preserve">in Docket No. 34448, the Commission issued a financing order authorizing </w:t>
      </w:r>
      <w:r w:rsidR="00254913">
        <w:t xml:space="preserve">securitized </w:t>
      </w:r>
      <w:r w:rsidR="00ED2453">
        <w:t xml:space="preserve">recovery of </w:t>
      </w:r>
      <w:r w:rsidR="00E679FD">
        <w:t>CEHE’s remaining</w:t>
      </w:r>
      <w:r w:rsidR="00ED2453">
        <w:t xml:space="preserve"> $488 million CTC balance.</w:t>
      </w:r>
      <w:r w:rsidR="0034321D">
        <w:rPr>
          <w:rStyle w:val="FootnoteReference"/>
        </w:rPr>
        <w:footnoteReference w:id="23"/>
      </w:r>
      <w:r w:rsidR="00ED2453">
        <w:t xml:space="preserve">  </w:t>
      </w:r>
      <w:r w:rsidR="00464D12">
        <w:t xml:space="preserve">Because the Commission had </w:t>
      </w:r>
      <w:r w:rsidR="00792357">
        <w:t xml:space="preserve">already </w:t>
      </w:r>
      <w:r w:rsidR="00222195">
        <w:t>offset</w:t>
      </w:r>
      <w:r w:rsidR="00464D12">
        <w:t xml:space="preserve"> the original CTC recovery amount by the $31</w:t>
      </w:r>
      <w:r w:rsidR="008C1C5C">
        <w:t>4 million</w:t>
      </w:r>
      <w:r w:rsidR="00464D12">
        <w:t xml:space="preserve"> present-value of ADFIT benefits</w:t>
      </w:r>
      <w:r w:rsidR="00792357">
        <w:t xml:space="preserve"> (as determined in Docket No. 30485)</w:t>
      </w:r>
      <w:r w:rsidR="00464D12">
        <w:t>, no further action specifically related to the remaining portion of the ADFIT balance was required in the Commission’s order in Docket No. 34448.</w:t>
      </w:r>
    </w:p>
    <w:p w:rsidR="00E679FD" w:rsidRDefault="00E679FD" w:rsidP="001540E3">
      <w:pPr>
        <w:pStyle w:val="FOFCOL"/>
        <w:tabs>
          <w:tab w:val="num" w:pos="1260"/>
        </w:tabs>
        <w:spacing w:before="0" w:line="480" w:lineRule="exact"/>
        <w:ind w:right="360"/>
      </w:pPr>
      <w:r>
        <w:tab/>
      </w:r>
      <w:r>
        <w:tab/>
        <w:t xml:space="preserve">In Docket No. 37200, the Commission used a different approach to recognize the benefits of ADFIT.  Instead of using the present value of the ADFIT benefits as a lump-sum offset to the amount of </w:t>
      </w:r>
      <w:r w:rsidR="00254913">
        <w:t>system restoration</w:t>
      </w:r>
      <w:r>
        <w:t xml:space="preserve"> costs</w:t>
      </w:r>
      <w:r w:rsidR="00254913">
        <w:t xml:space="preserve"> authorized for securitized </w:t>
      </w:r>
      <w:r w:rsidR="00254913">
        <w:lastRenderedPageBreak/>
        <w:t>recovery</w:t>
      </w:r>
      <w:r>
        <w:t xml:space="preserve">, the Commission approved a separate ADFIT credit tariff that </w:t>
      </w:r>
      <w:r w:rsidR="0018671B">
        <w:t>provide</w:t>
      </w:r>
      <w:r w:rsidR="00E76192">
        <w:t xml:space="preserve">d (and continues to provide) </w:t>
      </w:r>
      <w:r w:rsidR="0018671B">
        <w:t xml:space="preserve">a degree of </w:t>
      </w:r>
      <w:r w:rsidR="00254913">
        <w:t>reduction</w:t>
      </w:r>
      <w:r w:rsidR="0018671B">
        <w:t xml:space="preserve"> to</w:t>
      </w:r>
      <w:r>
        <w:t xml:space="preserve"> the </w:t>
      </w:r>
      <w:r w:rsidR="00254913">
        <w:t xml:space="preserve">monthly </w:t>
      </w:r>
      <w:r w:rsidR="00254913" w:rsidRPr="00254913">
        <w:rPr>
          <w:i/>
        </w:rPr>
        <w:t>ongoing</w:t>
      </w:r>
      <w:r w:rsidR="00254913">
        <w:t xml:space="preserve"> </w:t>
      </w:r>
      <w:r>
        <w:t xml:space="preserve">charges for recovery of </w:t>
      </w:r>
      <w:r w:rsidR="0018671B">
        <w:t xml:space="preserve">the securitized </w:t>
      </w:r>
      <w:r>
        <w:t>costs.</w:t>
      </w:r>
      <w:r w:rsidR="0089748E">
        <w:t xml:space="preserve">  The </w:t>
      </w:r>
      <w:r w:rsidR="00E06438">
        <w:t xml:space="preserve">separate tariff </w:t>
      </w:r>
      <w:r w:rsidR="00254913">
        <w:t xml:space="preserve">thus </w:t>
      </w:r>
      <w:r w:rsidR="0018671B">
        <w:t>reflects</w:t>
      </w:r>
      <w:r w:rsidR="0089748E">
        <w:t xml:space="preserve"> ADFIT benefits </w:t>
      </w:r>
      <w:r w:rsidR="00254913">
        <w:t xml:space="preserve">as a </w:t>
      </w:r>
      <w:r w:rsidR="00E76192">
        <w:t xml:space="preserve">monthly </w:t>
      </w:r>
      <w:r w:rsidR="00254913">
        <w:t xml:space="preserve">billing </w:t>
      </w:r>
      <w:r w:rsidR="00E06438">
        <w:t xml:space="preserve">credit to the securitized bond charges, </w:t>
      </w:r>
      <w:r w:rsidR="0089748E">
        <w:t xml:space="preserve">in contrast to the approach </w:t>
      </w:r>
      <w:r w:rsidR="0018671B">
        <w:t xml:space="preserve">used in </w:t>
      </w:r>
      <w:r w:rsidR="00E06438">
        <w:t xml:space="preserve">Docket No. 30485 </w:t>
      </w:r>
      <w:r w:rsidR="0089748E">
        <w:t xml:space="preserve">in which the present-value of all ADFIT benefits was used as a lump-sum offset to </w:t>
      </w:r>
      <w:r w:rsidR="008C1C5C">
        <w:t>a</w:t>
      </w:r>
      <w:r w:rsidR="0089748E">
        <w:t xml:space="preserve"> total amount to be recovered.</w:t>
      </w:r>
    </w:p>
    <w:p w:rsidR="00E679FD" w:rsidRDefault="00E679FD" w:rsidP="001540E3">
      <w:pPr>
        <w:pStyle w:val="FOFCOL"/>
        <w:tabs>
          <w:tab w:val="num" w:pos="1260"/>
        </w:tabs>
        <w:spacing w:before="0" w:line="480" w:lineRule="exact"/>
        <w:ind w:right="360"/>
      </w:pPr>
      <w:r>
        <w:tab/>
      </w:r>
      <w:r>
        <w:tab/>
        <w:t xml:space="preserve">Finally, in Docket No. 39809, the Commission issued a financing order for securitized recovery of $1.695 billion, </w:t>
      </w:r>
      <w:r w:rsidR="00254913">
        <w:t xml:space="preserve">an amount that </w:t>
      </w:r>
      <w:r>
        <w:t>resulted from a remand by the Su</w:t>
      </w:r>
      <w:r w:rsidR="00EC7368">
        <w:t>preme Court of Texas of true-up-</w:t>
      </w:r>
      <w:r>
        <w:t xml:space="preserve">related costs </w:t>
      </w:r>
      <w:r w:rsidR="0018671B">
        <w:t>that were originally part of</w:t>
      </w:r>
      <w:r>
        <w:t xml:space="preserve"> CEHE’s 2004 true-up proceeding.  The $1.695 billion figure was the result of a settlement agreement, and the Commission’s order did not address the issue of ADFIT benefits because such amounts were subsumed within the agreed-upon settlement amount.  </w:t>
      </w:r>
      <w:r w:rsidR="0089748E">
        <w:t xml:space="preserve">This point notwithstanding, </w:t>
      </w:r>
      <w:r>
        <w:t>CEHE</w:t>
      </w:r>
      <w:r w:rsidR="0018671B">
        <w:t xml:space="preserve"> recorded and continues to record</w:t>
      </w:r>
      <w:r>
        <w:t xml:space="preserve"> on its books the amount of ADFIT related to this transaction</w:t>
      </w:r>
      <w:r w:rsidR="00E06438">
        <w:t>, as evidenced by</w:t>
      </w:r>
      <w:r w:rsidR="00254913">
        <w:t xml:space="preserve"> information included in</w:t>
      </w:r>
      <w:r w:rsidR="00E06438">
        <w:t xml:space="preserve"> its response to GCCC RFI </w:t>
      </w:r>
      <w:r w:rsidR="00DE6E27">
        <w:t>3-</w:t>
      </w:r>
      <w:r w:rsidR="00E06438">
        <w:t>0</w:t>
      </w:r>
      <w:r w:rsidR="00DE6E27">
        <w:t>3</w:t>
      </w:r>
      <w:r>
        <w:t>.</w:t>
      </w:r>
      <w:r w:rsidR="00222195">
        <w:rPr>
          <w:rStyle w:val="FootnoteReference"/>
        </w:rPr>
        <w:footnoteReference w:id="24"/>
      </w:r>
    </w:p>
    <w:p w:rsidR="00FA681B" w:rsidRDefault="00FA681B" w:rsidP="007768DC">
      <w:pPr>
        <w:pStyle w:val="FOFCOL"/>
        <w:tabs>
          <w:tab w:val="num" w:pos="1260"/>
        </w:tabs>
        <w:spacing w:before="0" w:line="240" w:lineRule="auto"/>
        <w:ind w:right="360"/>
      </w:pPr>
      <w:r>
        <w:tab/>
      </w:r>
      <w:r>
        <w:tab/>
      </w:r>
    </w:p>
    <w:p w:rsidR="00B079A9" w:rsidRPr="00CB1AB4" w:rsidRDefault="00CB1AB4" w:rsidP="001540E3">
      <w:pPr>
        <w:pStyle w:val="FOFCOL"/>
        <w:tabs>
          <w:tab w:val="num" w:pos="1260"/>
        </w:tabs>
        <w:spacing w:before="0" w:line="480" w:lineRule="exact"/>
        <w:ind w:right="360"/>
        <w:rPr>
          <w:b/>
        </w:rPr>
      </w:pPr>
      <w:r w:rsidRPr="00CB1AB4">
        <w:rPr>
          <w:b/>
        </w:rPr>
        <w:t>Q.</w:t>
      </w:r>
      <w:r w:rsidRPr="00CB1AB4">
        <w:rPr>
          <w:b/>
        </w:rPr>
        <w:tab/>
        <w:t xml:space="preserve">Given your above discussion, what are the implications of the TCJA on </w:t>
      </w:r>
      <w:r w:rsidR="0028020F">
        <w:rPr>
          <w:b/>
        </w:rPr>
        <w:t xml:space="preserve">the </w:t>
      </w:r>
      <w:r w:rsidRPr="00CB1AB4">
        <w:rPr>
          <w:b/>
        </w:rPr>
        <w:t xml:space="preserve">ADFIT </w:t>
      </w:r>
      <w:r w:rsidRPr="008C1C5C">
        <w:rPr>
          <w:b/>
          <w:i/>
        </w:rPr>
        <w:t>balances</w:t>
      </w:r>
      <w:r w:rsidRPr="00CB1AB4">
        <w:rPr>
          <w:b/>
        </w:rPr>
        <w:t xml:space="preserve"> related to </w:t>
      </w:r>
      <w:r w:rsidR="0028020F">
        <w:rPr>
          <w:b/>
        </w:rPr>
        <w:t>CEHE’s</w:t>
      </w:r>
      <w:r w:rsidRPr="00CB1AB4">
        <w:rPr>
          <w:b/>
        </w:rPr>
        <w:t xml:space="preserve"> securitized bonds?</w:t>
      </w:r>
    </w:p>
    <w:p w:rsidR="00B079A9" w:rsidRDefault="00CB1AB4" w:rsidP="001540E3">
      <w:pPr>
        <w:pStyle w:val="FOFCOL"/>
        <w:tabs>
          <w:tab w:val="num" w:pos="1260"/>
        </w:tabs>
        <w:spacing w:before="0" w:line="480" w:lineRule="exact"/>
        <w:ind w:right="360"/>
      </w:pPr>
      <w:r>
        <w:t>A.</w:t>
      </w:r>
      <w:r>
        <w:tab/>
        <w:t xml:space="preserve">The TCJA had the same effect on CEHE’s securitization-related ADFIT balances as it had on CEHE’s other ADFIT balances.  That is, the reduction in the corporate tax rate from 35% to 21% resulted in a portion of CEHE’s remaining securitization-related ADFIT balances becoming </w:t>
      </w:r>
      <w:r w:rsidRPr="00CB1AB4">
        <w:rPr>
          <w:i/>
          <w:u w:val="single"/>
        </w:rPr>
        <w:t>excess</w:t>
      </w:r>
      <w:r>
        <w:t xml:space="preserve"> accumulated deferred </w:t>
      </w:r>
      <w:r w:rsidR="00123388">
        <w:t>federal income tax (EDIT)</w:t>
      </w:r>
      <w:r w:rsidR="009813C9">
        <w:t xml:space="preserve"> balances</w:t>
      </w:r>
      <w:r w:rsidR="00123388">
        <w:t xml:space="preserve">.  In other words, </w:t>
      </w:r>
      <w:r w:rsidR="009813C9">
        <w:t xml:space="preserve">because of the tax-rate reduction, </w:t>
      </w:r>
      <w:r w:rsidR="00123388">
        <w:t xml:space="preserve">the EDIT </w:t>
      </w:r>
      <w:r w:rsidR="00831FD3">
        <w:t xml:space="preserve">portion of the ADFIT balance </w:t>
      </w:r>
      <w:r w:rsidR="00123388">
        <w:t xml:space="preserve">reflects amounts that are no longer a liability payable to </w:t>
      </w:r>
      <w:r>
        <w:t xml:space="preserve">the </w:t>
      </w:r>
      <w:r w:rsidR="00123388">
        <w:t>Internal Revenue Service (IRS).</w:t>
      </w:r>
    </w:p>
    <w:p w:rsidR="00123388" w:rsidRDefault="00123388" w:rsidP="007768DC">
      <w:pPr>
        <w:pStyle w:val="FOFCOL"/>
        <w:tabs>
          <w:tab w:val="num" w:pos="1260"/>
        </w:tabs>
        <w:spacing w:before="0" w:line="240" w:lineRule="auto"/>
        <w:ind w:right="360"/>
      </w:pPr>
    </w:p>
    <w:p w:rsidR="00123388" w:rsidRPr="00123388" w:rsidRDefault="00123388" w:rsidP="001540E3">
      <w:pPr>
        <w:pStyle w:val="FOFCOL"/>
        <w:tabs>
          <w:tab w:val="num" w:pos="1260"/>
        </w:tabs>
        <w:spacing w:before="0" w:line="480" w:lineRule="exact"/>
        <w:ind w:right="360"/>
        <w:rPr>
          <w:b/>
        </w:rPr>
      </w:pPr>
      <w:r w:rsidRPr="00123388">
        <w:rPr>
          <w:b/>
        </w:rPr>
        <w:lastRenderedPageBreak/>
        <w:t>Q.</w:t>
      </w:r>
      <w:r w:rsidRPr="00123388">
        <w:rPr>
          <w:b/>
        </w:rPr>
        <w:tab/>
        <w:t xml:space="preserve">Does the fact that CEHE’s securitization-related EDIT amounts are no longer payable to the IRS explain CEHE’s </w:t>
      </w:r>
      <w:r w:rsidR="00C82BF7">
        <w:rPr>
          <w:b/>
        </w:rPr>
        <w:t>accounting adjustment to reduce</w:t>
      </w:r>
      <w:r w:rsidRPr="00123388">
        <w:rPr>
          <w:b/>
        </w:rPr>
        <w:t xml:space="preserve"> its 2</w:t>
      </w:r>
      <w:r>
        <w:rPr>
          <w:b/>
        </w:rPr>
        <w:t>017 income tax expense, thereby increasing</w:t>
      </w:r>
      <w:r w:rsidRPr="00123388">
        <w:rPr>
          <w:b/>
        </w:rPr>
        <w:t xml:space="preserve"> its income by that amount?</w:t>
      </w:r>
    </w:p>
    <w:p w:rsidR="00123388" w:rsidRDefault="00123388" w:rsidP="001540E3">
      <w:pPr>
        <w:pStyle w:val="FOFCOL"/>
        <w:tabs>
          <w:tab w:val="num" w:pos="1260"/>
        </w:tabs>
        <w:spacing w:before="0" w:line="480" w:lineRule="exact"/>
        <w:ind w:right="360"/>
      </w:pPr>
      <w:r>
        <w:t>A.</w:t>
      </w:r>
      <w:r>
        <w:tab/>
        <w:t xml:space="preserve">Yes, I believe that is the </w:t>
      </w:r>
      <w:r w:rsidR="0018671B">
        <w:t>fundamental</w:t>
      </w:r>
      <w:r>
        <w:t xml:space="preserve"> explanation.</w:t>
      </w:r>
    </w:p>
    <w:p w:rsidR="00123388" w:rsidRDefault="00123388" w:rsidP="007768DC">
      <w:pPr>
        <w:pStyle w:val="FOFCOL"/>
        <w:tabs>
          <w:tab w:val="num" w:pos="1260"/>
        </w:tabs>
        <w:spacing w:before="0" w:line="240" w:lineRule="auto"/>
        <w:ind w:right="360"/>
      </w:pPr>
    </w:p>
    <w:p w:rsidR="00C82BF7" w:rsidRPr="001540E3" w:rsidRDefault="00C82BF7" w:rsidP="001540E3">
      <w:pPr>
        <w:pStyle w:val="FOFCOL"/>
        <w:tabs>
          <w:tab w:val="num" w:pos="1260"/>
        </w:tabs>
        <w:spacing w:before="0" w:line="480" w:lineRule="exact"/>
        <w:ind w:right="360"/>
        <w:rPr>
          <w:b/>
        </w:rPr>
      </w:pPr>
      <w:r w:rsidRPr="001540E3">
        <w:rPr>
          <w:b/>
        </w:rPr>
        <w:t>Q.</w:t>
      </w:r>
      <w:r w:rsidRPr="001540E3">
        <w:rPr>
          <w:b/>
        </w:rPr>
        <w:tab/>
      </w:r>
      <w:r w:rsidR="0028020F">
        <w:rPr>
          <w:b/>
        </w:rPr>
        <w:t>Is</w:t>
      </w:r>
      <w:r w:rsidRPr="001540E3">
        <w:rPr>
          <w:b/>
        </w:rPr>
        <w:t xml:space="preserve"> CEHE’s adjustment </w:t>
      </w:r>
      <w:r w:rsidR="0028020F">
        <w:rPr>
          <w:b/>
        </w:rPr>
        <w:t xml:space="preserve">to reduce income tax expense—and thus increase income—by approximately $158 million </w:t>
      </w:r>
      <w:r w:rsidRPr="001540E3">
        <w:rPr>
          <w:b/>
        </w:rPr>
        <w:t xml:space="preserve">consistent with the Commission’s treatment of utility companies’ </w:t>
      </w:r>
      <w:r w:rsidRPr="0018671B">
        <w:rPr>
          <w:b/>
          <w:i/>
        </w:rPr>
        <w:t>non</w:t>
      </w:r>
      <w:r w:rsidRPr="001540E3">
        <w:rPr>
          <w:b/>
        </w:rPr>
        <w:t>-securitization-related EDIT amounts?</w:t>
      </w:r>
    </w:p>
    <w:p w:rsidR="00123388" w:rsidRDefault="00C82BF7" w:rsidP="001540E3">
      <w:pPr>
        <w:pStyle w:val="FOFCOL"/>
        <w:tabs>
          <w:tab w:val="num" w:pos="1260"/>
        </w:tabs>
        <w:spacing w:before="0" w:line="480" w:lineRule="exact"/>
        <w:ind w:right="360"/>
      </w:pPr>
      <w:r>
        <w:t>A.</w:t>
      </w:r>
      <w:r>
        <w:tab/>
        <w:t>No.  In Project No. 47545,</w:t>
      </w:r>
      <w:r w:rsidR="001540E3">
        <w:rPr>
          <w:rStyle w:val="FootnoteReference"/>
        </w:rPr>
        <w:footnoteReference w:id="25"/>
      </w:r>
      <w:r>
        <w:t xml:space="preserve"> the Commission on February 15, 2018 </w:t>
      </w:r>
      <w:r w:rsidR="001540E3">
        <w:t xml:space="preserve">issued an order addressing the </w:t>
      </w:r>
      <w:r w:rsidR="00831FD3">
        <w:t xml:space="preserve">TCJA’s </w:t>
      </w:r>
      <w:r w:rsidR="001540E3">
        <w:t xml:space="preserve">change </w:t>
      </w:r>
      <w:r w:rsidR="00831FD3">
        <w:t>to</w:t>
      </w:r>
      <w:r w:rsidR="001540E3">
        <w:t xml:space="preserve"> federal income tax rates</w:t>
      </w:r>
      <w:r w:rsidR="0018671B">
        <w:t xml:space="preserve"> and its impact on investor-owned Texas utility companies</w:t>
      </w:r>
      <w:r w:rsidR="001540E3">
        <w:t>.  The order</w:t>
      </w:r>
      <w:r>
        <w:t xml:space="preserve"> included the following </w:t>
      </w:r>
      <w:r w:rsidR="001540E3">
        <w:t>specific directive:</w:t>
      </w:r>
    </w:p>
    <w:p w:rsidR="001540E3" w:rsidRDefault="001540E3" w:rsidP="00C82BF7">
      <w:pPr>
        <w:pStyle w:val="FOFCOL"/>
        <w:tabs>
          <w:tab w:val="num" w:pos="1260"/>
        </w:tabs>
        <w:spacing w:before="0" w:line="240" w:lineRule="auto"/>
        <w:ind w:left="1267" w:right="720" w:hanging="1267"/>
      </w:pPr>
    </w:p>
    <w:p w:rsidR="00C82BF7" w:rsidRDefault="00C82BF7" w:rsidP="00C82BF7">
      <w:pPr>
        <w:pStyle w:val="FOFCOL"/>
        <w:tabs>
          <w:tab w:val="num" w:pos="1260"/>
        </w:tabs>
        <w:spacing w:before="0" w:line="240" w:lineRule="auto"/>
        <w:ind w:left="1267" w:right="720" w:hanging="1267"/>
      </w:pPr>
      <w:r>
        <w:tab/>
        <w:t>E</w:t>
      </w:r>
      <w:r w:rsidRPr="00F350BB">
        <w:rPr>
          <w:szCs w:val="24"/>
        </w:rPr>
        <w:t xml:space="preserve">ach investor-owned electric, telecommunications, and </w:t>
      </w:r>
      <w:r>
        <w:rPr>
          <w:szCs w:val="24"/>
        </w:rPr>
        <w:t xml:space="preserve">class A </w:t>
      </w:r>
      <w:r w:rsidRPr="00F350BB">
        <w:rPr>
          <w:szCs w:val="24"/>
        </w:rPr>
        <w:t xml:space="preserve">water and sewer utility in the State of Texas, for which the Commission has jurisdiction, shall, starting the date this Order is signed, record as a regulatory liability </w:t>
      </w:r>
      <w:r>
        <w:rPr>
          <w:szCs w:val="24"/>
        </w:rPr>
        <w:t xml:space="preserve">the following: </w:t>
      </w:r>
      <w:r w:rsidR="00EC7368">
        <w:rPr>
          <w:szCs w:val="24"/>
        </w:rPr>
        <w:t xml:space="preserve"> </w:t>
      </w:r>
      <w:r w:rsidRPr="00F350BB">
        <w:rPr>
          <w:szCs w:val="24"/>
        </w:rPr>
        <w:t xml:space="preserve">(1) the difference </w:t>
      </w:r>
      <w:r>
        <w:rPr>
          <w:szCs w:val="24"/>
        </w:rPr>
        <w:t>between</w:t>
      </w:r>
      <w:r w:rsidRPr="00F350BB">
        <w:rPr>
          <w:szCs w:val="24"/>
        </w:rPr>
        <w:t xml:space="preserve"> the revenues collected under existing rates and the revenues that would have been collected had the existing rates been set using the recently approved federal</w:t>
      </w:r>
      <w:r>
        <w:rPr>
          <w:szCs w:val="24"/>
        </w:rPr>
        <w:t xml:space="preserve"> </w:t>
      </w:r>
      <w:r w:rsidRPr="00F350BB">
        <w:rPr>
          <w:szCs w:val="24"/>
        </w:rPr>
        <w:t>income</w:t>
      </w:r>
      <w:r>
        <w:rPr>
          <w:szCs w:val="24"/>
        </w:rPr>
        <w:t xml:space="preserve"> </w:t>
      </w:r>
      <w:r w:rsidRPr="00F350BB">
        <w:rPr>
          <w:szCs w:val="24"/>
        </w:rPr>
        <w:t>tax rates</w:t>
      </w:r>
      <w:r>
        <w:rPr>
          <w:szCs w:val="24"/>
        </w:rPr>
        <w:t>;</w:t>
      </w:r>
      <w:r w:rsidRPr="00F350BB">
        <w:rPr>
          <w:szCs w:val="24"/>
        </w:rPr>
        <w:t xml:space="preserve"> and</w:t>
      </w:r>
      <w:r>
        <w:rPr>
          <w:szCs w:val="24"/>
        </w:rPr>
        <w:t>,</w:t>
      </w:r>
      <w:r w:rsidRPr="00F350BB">
        <w:rPr>
          <w:szCs w:val="24"/>
        </w:rPr>
        <w:t xml:space="preserve"> (2) the balance of excess accumulated</w:t>
      </w:r>
      <w:r>
        <w:rPr>
          <w:szCs w:val="24"/>
        </w:rPr>
        <w:t xml:space="preserve"> </w:t>
      </w:r>
      <w:r w:rsidRPr="00F350BB">
        <w:rPr>
          <w:szCs w:val="24"/>
        </w:rPr>
        <w:t>deferred</w:t>
      </w:r>
      <w:r>
        <w:rPr>
          <w:szCs w:val="24"/>
        </w:rPr>
        <w:t xml:space="preserve"> </w:t>
      </w:r>
      <w:r w:rsidRPr="00F350BB">
        <w:rPr>
          <w:szCs w:val="24"/>
        </w:rPr>
        <w:t>federal</w:t>
      </w:r>
      <w:r>
        <w:rPr>
          <w:szCs w:val="24"/>
        </w:rPr>
        <w:t xml:space="preserve"> </w:t>
      </w:r>
      <w:r w:rsidRPr="00F350BB">
        <w:rPr>
          <w:szCs w:val="24"/>
        </w:rPr>
        <w:t>income taxes (ADFIT) that now exists because of the decrease in the federal</w:t>
      </w:r>
      <w:r>
        <w:rPr>
          <w:szCs w:val="24"/>
        </w:rPr>
        <w:t xml:space="preserve"> </w:t>
      </w:r>
      <w:r w:rsidRPr="00F350BB">
        <w:rPr>
          <w:szCs w:val="24"/>
        </w:rPr>
        <w:t>income</w:t>
      </w:r>
      <w:r>
        <w:rPr>
          <w:szCs w:val="24"/>
        </w:rPr>
        <w:t xml:space="preserve"> </w:t>
      </w:r>
      <w:r w:rsidRPr="00F350BB">
        <w:rPr>
          <w:szCs w:val="24"/>
        </w:rPr>
        <w:t>tax rate from 35% to 21%.</w:t>
      </w:r>
    </w:p>
    <w:p w:rsidR="00123388" w:rsidRDefault="00123388" w:rsidP="007768DC">
      <w:pPr>
        <w:pStyle w:val="FOFCOL"/>
        <w:tabs>
          <w:tab w:val="num" w:pos="1260"/>
        </w:tabs>
        <w:spacing w:before="0" w:line="240" w:lineRule="auto"/>
        <w:ind w:right="720"/>
      </w:pPr>
    </w:p>
    <w:p w:rsidR="00495EAE" w:rsidRDefault="008C1C5C" w:rsidP="00EC7368">
      <w:pPr>
        <w:pStyle w:val="FOFCOL"/>
        <w:tabs>
          <w:tab w:val="num" w:pos="1260"/>
        </w:tabs>
        <w:spacing w:before="0" w:line="480" w:lineRule="exact"/>
        <w:ind w:right="360"/>
      </w:pPr>
      <w:r>
        <w:tab/>
        <w:t>In the months following this Commission</w:t>
      </w:r>
      <w:r w:rsidR="001540E3">
        <w:t xml:space="preserve"> order, all the affected utilities filed separate </w:t>
      </w:r>
      <w:r w:rsidR="0018671B">
        <w:t xml:space="preserve">compliance </w:t>
      </w:r>
      <w:r w:rsidR="001540E3">
        <w:t>proceedings that addressed the change</w:t>
      </w:r>
      <w:r w:rsidR="00EA41D6">
        <w:t>s</w:t>
      </w:r>
      <w:r w:rsidR="001540E3">
        <w:t xml:space="preserve"> in the tax law</w:t>
      </w:r>
      <w:r w:rsidR="00167AE2">
        <w:t>.  These proceedings resulted in:  (1) tax-reduction revisions to</w:t>
      </w:r>
      <w:r w:rsidR="0028020F">
        <w:t xml:space="preserve"> customer rates</w:t>
      </w:r>
      <w:r w:rsidR="00167AE2">
        <w:t>,</w:t>
      </w:r>
      <w:r w:rsidR="0028020F">
        <w:t xml:space="preserve"> </w:t>
      </w:r>
      <w:r w:rsidR="009813C9">
        <w:t xml:space="preserve">and </w:t>
      </w:r>
      <w:r w:rsidR="00167AE2">
        <w:t xml:space="preserve">(2) measures that took into account </w:t>
      </w:r>
      <w:r w:rsidR="009813C9">
        <w:t xml:space="preserve">the </w:t>
      </w:r>
      <w:r w:rsidR="00167AE2">
        <w:t xml:space="preserve">Commission’s order to reflect a </w:t>
      </w:r>
      <w:r w:rsidR="009813C9">
        <w:t xml:space="preserve">regulatory liability for the </w:t>
      </w:r>
      <w:r w:rsidR="00167AE2">
        <w:t xml:space="preserve">newly created </w:t>
      </w:r>
      <w:r w:rsidR="009813C9">
        <w:t>balance</w:t>
      </w:r>
      <w:r w:rsidR="00167AE2">
        <w:t>s</w:t>
      </w:r>
      <w:r w:rsidR="009813C9">
        <w:t xml:space="preserve"> of EDIT</w:t>
      </w:r>
      <w:r w:rsidR="00167AE2">
        <w:t>—</w:t>
      </w:r>
      <w:r w:rsidR="00495EAE">
        <w:t xml:space="preserve">with </w:t>
      </w:r>
      <w:r w:rsidR="00167AE2">
        <w:t>the latter</w:t>
      </w:r>
      <w:r w:rsidR="009813C9">
        <w:t xml:space="preserve"> </w:t>
      </w:r>
      <w:r w:rsidR="00495EAE">
        <w:t>serving to effectively eliminate</w:t>
      </w:r>
      <w:r w:rsidR="009813C9">
        <w:t xml:space="preserve"> the possibility that the affected utilities would experience an income windfall from </w:t>
      </w:r>
      <w:r w:rsidR="00495EAE">
        <w:t xml:space="preserve">the </w:t>
      </w:r>
      <w:r w:rsidR="009813C9">
        <w:t xml:space="preserve">EDIT amounts.  </w:t>
      </w:r>
    </w:p>
    <w:p w:rsidR="00123388" w:rsidRDefault="00495EAE" w:rsidP="005F7E77">
      <w:pPr>
        <w:pStyle w:val="FOFCOL"/>
        <w:tabs>
          <w:tab w:val="num" w:pos="1260"/>
        </w:tabs>
        <w:spacing w:before="0" w:line="480" w:lineRule="exact"/>
        <w:ind w:right="360"/>
      </w:pPr>
      <w:r>
        <w:tab/>
      </w:r>
      <w:r>
        <w:tab/>
      </w:r>
      <w:r w:rsidR="00EA41D6">
        <w:t xml:space="preserve">Thus, </w:t>
      </w:r>
      <w:r w:rsidR="0028020F">
        <w:t xml:space="preserve">CEHE’s </w:t>
      </w:r>
      <w:r w:rsidR="00222BED">
        <w:t>securitization-related EDIT accounting adjustment to</w:t>
      </w:r>
      <w:r w:rsidR="0028020F">
        <w:t xml:space="preserve"> </w:t>
      </w:r>
      <w:r w:rsidR="00567E41">
        <w:t xml:space="preserve">increase </w:t>
      </w:r>
      <w:r w:rsidR="0028020F">
        <w:t>income</w:t>
      </w:r>
      <w:r w:rsidR="008C1C5C">
        <w:t xml:space="preserve"> by</w:t>
      </w:r>
      <w:r w:rsidR="0028020F">
        <w:t xml:space="preserve"> </w:t>
      </w:r>
      <w:r w:rsidR="00222BED">
        <w:t xml:space="preserve">$158 million </w:t>
      </w:r>
      <w:r w:rsidR="0028020F">
        <w:t xml:space="preserve">is </w:t>
      </w:r>
      <w:r w:rsidR="004D6D09">
        <w:t xml:space="preserve">not </w:t>
      </w:r>
      <w:r w:rsidR="0028020F">
        <w:t>consistent with the treatment of other EDIT amounts.</w:t>
      </w:r>
    </w:p>
    <w:p w:rsidR="004D6D09" w:rsidRPr="00567E41" w:rsidRDefault="004D6D09" w:rsidP="005F7E77">
      <w:pPr>
        <w:pStyle w:val="FOFCOL"/>
        <w:tabs>
          <w:tab w:val="num" w:pos="1260"/>
        </w:tabs>
        <w:spacing w:before="0" w:line="480" w:lineRule="exact"/>
        <w:ind w:right="360"/>
        <w:rPr>
          <w:b/>
        </w:rPr>
      </w:pPr>
      <w:r w:rsidRPr="00567E41">
        <w:rPr>
          <w:b/>
        </w:rPr>
        <w:lastRenderedPageBreak/>
        <w:t>Q.</w:t>
      </w:r>
      <w:r w:rsidRPr="00567E41">
        <w:rPr>
          <w:b/>
        </w:rPr>
        <w:tab/>
      </w:r>
      <w:r w:rsidR="00567E41" w:rsidRPr="00567E41">
        <w:rPr>
          <w:b/>
        </w:rPr>
        <w:t>B</w:t>
      </w:r>
      <w:r w:rsidRPr="00567E41">
        <w:rPr>
          <w:b/>
        </w:rPr>
        <w:t>ased on</w:t>
      </w:r>
      <w:r w:rsidR="00567E41" w:rsidRPr="00567E41">
        <w:rPr>
          <w:b/>
        </w:rPr>
        <w:t xml:space="preserve"> your discussion concerning this issue, should the Commission require CEHE to credit to ratepayers the $158 million amount</w:t>
      </w:r>
      <w:r w:rsidR="00C057E8">
        <w:rPr>
          <w:rStyle w:val="FootnoteReference"/>
          <w:b/>
        </w:rPr>
        <w:footnoteReference w:id="26"/>
      </w:r>
      <w:r w:rsidR="00567E41" w:rsidRPr="00567E41">
        <w:rPr>
          <w:b/>
        </w:rPr>
        <w:t xml:space="preserve"> of securitization-related EDIT?</w:t>
      </w:r>
    </w:p>
    <w:p w:rsidR="00567E41" w:rsidRDefault="00567E41" w:rsidP="005F7E77">
      <w:pPr>
        <w:pStyle w:val="FOFCOL"/>
        <w:tabs>
          <w:tab w:val="num" w:pos="1260"/>
        </w:tabs>
        <w:spacing w:before="0" w:line="480" w:lineRule="exact"/>
        <w:ind w:right="360"/>
      </w:pPr>
      <w:r>
        <w:t>A.</w:t>
      </w:r>
      <w:r>
        <w:tab/>
        <w:t>For a number of</w:t>
      </w:r>
      <w:r w:rsidR="00536291">
        <w:t xml:space="preserve"> </w:t>
      </w:r>
      <w:r w:rsidR="008C1C5C">
        <w:t xml:space="preserve">detailed </w:t>
      </w:r>
      <w:r>
        <w:t>reasons, I do not believe that things are quite that simple.  These reasons include the following</w:t>
      </w:r>
      <w:r w:rsidR="006404CA">
        <w:t xml:space="preserve"> points</w:t>
      </w:r>
      <w:r>
        <w:t>:</w:t>
      </w:r>
    </w:p>
    <w:p w:rsidR="00C545FA" w:rsidRDefault="00567E41" w:rsidP="00C545FA">
      <w:pPr>
        <w:pStyle w:val="FOFCOL"/>
        <w:tabs>
          <w:tab w:val="num" w:pos="1260"/>
        </w:tabs>
        <w:spacing w:before="0" w:line="240" w:lineRule="auto"/>
        <w:ind w:right="720"/>
      </w:pPr>
      <w:r>
        <w:tab/>
      </w:r>
    </w:p>
    <w:p w:rsidR="00567E41" w:rsidRDefault="008F3AAF" w:rsidP="009348C3">
      <w:pPr>
        <w:pStyle w:val="FOFCOL"/>
        <w:numPr>
          <w:ilvl w:val="0"/>
          <w:numId w:val="38"/>
        </w:numPr>
        <w:spacing w:before="0" w:line="240" w:lineRule="auto"/>
        <w:ind w:right="576"/>
      </w:pPr>
      <w:r>
        <w:t>The original calculations</w:t>
      </w:r>
      <w:r w:rsidR="00222195">
        <w:t xml:space="preserve"> in Docket No. 30485</w:t>
      </w:r>
      <w:r>
        <w:t xml:space="preserve"> of present-value, lump-sum amounts </w:t>
      </w:r>
      <w:r w:rsidR="00831FD3">
        <w:t xml:space="preserve">of </w:t>
      </w:r>
      <w:r w:rsidR="00567E41">
        <w:t xml:space="preserve">ADFIT </w:t>
      </w:r>
      <w:r w:rsidR="00567E41" w:rsidRPr="00567E41">
        <w:rPr>
          <w:i/>
        </w:rPr>
        <w:t>benefits</w:t>
      </w:r>
      <w:r>
        <w:t xml:space="preserve"> </w:t>
      </w:r>
      <w:r w:rsidR="008C1C5C">
        <w:t>incorporated</w:t>
      </w:r>
      <w:r>
        <w:t xml:space="preserve"> ADFIT </w:t>
      </w:r>
      <w:r w:rsidRPr="008F3AAF">
        <w:rPr>
          <w:i/>
        </w:rPr>
        <w:t>balances</w:t>
      </w:r>
      <w:r>
        <w:t xml:space="preserve"> that, because of the TCJA, have now been reduced as some portions of those balances have become </w:t>
      </w:r>
      <w:r w:rsidRPr="00E83D68">
        <w:rPr>
          <w:i/>
        </w:rPr>
        <w:t>excess</w:t>
      </w:r>
      <w:r>
        <w:t xml:space="preserve"> ADFIT</w:t>
      </w:r>
      <w:r w:rsidR="00D275C1">
        <w:t xml:space="preserve"> (or EDIT)</w:t>
      </w:r>
      <w:r>
        <w:t xml:space="preserve">.  To the extent that the Commission determines that </w:t>
      </w:r>
      <w:r w:rsidR="00831FD3">
        <w:t xml:space="preserve">any remaining amounts of </w:t>
      </w:r>
      <w:r>
        <w:t xml:space="preserve">such excess portions of ADFIT </w:t>
      </w:r>
      <w:r w:rsidR="0091659E">
        <w:t xml:space="preserve">balances </w:t>
      </w:r>
      <w:r>
        <w:t xml:space="preserve">should be refunded to ratepayers, </w:t>
      </w:r>
      <w:r w:rsidR="00831FD3">
        <w:t xml:space="preserve">the </w:t>
      </w:r>
      <w:r>
        <w:t>amount of the benefit</w:t>
      </w:r>
      <w:r w:rsidR="00831FD3">
        <w:t>s</w:t>
      </w:r>
      <w:r>
        <w:t xml:space="preserve"> </w:t>
      </w:r>
      <w:r w:rsidR="00E83D68">
        <w:t>corresponding to that</w:t>
      </w:r>
      <w:r>
        <w:t xml:space="preserve"> refunded EDIT would also need to be </w:t>
      </w:r>
      <w:r w:rsidR="00322767">
        <w:t>taken into account</w:t>
      </w:r>
      <w:r w:rsidR="00D275C1">
        <w:t>, thus reducing to some degree the amount of the EDIT refund</w:t>
      </w:r>
      <w:r>
        <w:t xml:space="preserve">.  </w:t>
      </w:r>
      <w:r w:rsidR="00D275C1">
        <w:t xml:space="preserve">Stated </w:t>
      </w:r>
      <w:r w:rsidR="00EA41D6">
        <w:t>a bit</w:t>
      </w:r>
      <w:r w:rsidR="00D275C1">
        <w:t xml:space="preserve"> differently, the net effect would </w:t>
      </w:r>
      <w:r w:rsidR="00E83D68">
        <w:t xml:space="preserve">be a refund </w:t>
      </w:r>
      <w:r w:rsidR="00D275C1">
        <w:t>to ratepayer</w:t>
      </w:r>
      <w:r w:rsidR="00EA41D6">
        <w:t>s</w:t>
      </w:r>
      <w:r w:rsidR="00D275C1">
        <w:t xml:space="preserve"> </w:t>
      </w:r>
      <w:r w:rsidR="00E83D68">
        <w:t xml:space="preserve">of </w:t>
      </w:r>
      <w:r w:rsidR="00D275C1">
        <w:t xml:space="preserve">the </w:t>
      </w:r>
      <w:r w:rsidR="00E83D68">
        <w:t xml:space="preserve">EDIT </w:t>
      </w:r>
      <w:r w:rsidR="00D275C1">
        <w:t xml:space="preserve">amount, but at a reduced level to </w:t>
      </w:r>
      <w:r w:rsidR="00322767">
        <w:t>reflect</w:t>
      </w:r>
      <w:r w:rsidR="00D275C1">
        <w:t xml:space="preserve"> the corresponding reduction in the associated ADFIT benefit. </w:t>
      </w:r>
    </w:p>
    <w:p w:rsidR="00C545FA" w:rsidRDefault="00C545FA" w:rsidP="009348C3">
      <w:pPr>
        <w:pStyle w:val="FOFCOL"/>
        <w:spacing w:before="0" w:line="240" w:lineRule="auto"/>
        <w:ind w:left="1630" w:right="576" w:firstLine="0"/>
      </w:pPr>
    </w:p>
    <w:p w:rsidR="00C545FA" w:rsidRDefault="00E83D68" w:rsidP="009348C3">
      <w:pPr>
        <w:pStyle w:val="FOFCOL"/>
        <w:numPr>
          <w:ilvl w:val="0"/>
          <w:numId w:val="38"/>
        </w:numPr>
        <w:tabs>
          <w:tab w:val="num" w:pos="1260"/>
        </w:tabs>
        <w:spacing w:before="0" w:line="240" w:lineRule="auto"/>
        <w:ind w:right="576"/>
      </w:pPr>
      <w:r>
        <w:t>The original present-value calc</w:t>
      </w:r>
      <w:r w:rsidR="007A0AB5">
        <w:t>ulations of the lump-sum amount</w:t>
      </w:r>
      <w:r>
        <w:t xml:space="preserve"> of ADFIT benefits </w:t>
      </w:r>
      <w:r w:rsidR="007A0AB5">
        <w:t xml:space="preserve">in Docket No. 30485 </w:t>
      </w:r>
      <w:r>
        <w:t>were based on the amortization period</w:t>
      </w:r>
      <w:r w:rsidR="00EA41D6">
        <w:t>s</w:t>
      </w:r>
      <w:r>
        <w:t xml:space="preserve"> and payment structure</w:t>
      </w:r>
      <w:r w:rsidR="00EA41D6">
        <w:t>s</w:t>
      </w:r>
      <w:r>
        <w:t xml:space="preserve"> of the securitized bonds</w:t>
      </w:r>
      <w:r w:rsidR="00756A41">
        <w:t xml:space="preserve"> authorized in that proceeding</w:t>
      </w:r>
      <w:r>
        <w:t>.  To accurately determine the net effects described in point #1</w:t>
      </w:r>
      <w:r w:rsidR="00536291">
        <w:t xml:space="preserve"> above</w:t>
      </w:r>
      <w:r>
        <w:t xml:space="preserve">, I believe </w:t>
      </w:r>
      <w:r w:rsidR="00EA5EF6">
        <w:t xml:space="preserve">that </w:t>
      </w:r>
      <w:r>
        <w:t xml:space="preserve">additional, updated information is needed with regard to </w:t>
      </w:r>
      <w:r w:rsidR="00831FD3">
        <w:t xml:space="preserve">items such as </w:t>
      </w:r>
      <w:r>
        <w:t xml:space="preserve">the remaining bond balances, </w:t>
      </w:r>
      <w:r w:rsidR="00756A41">
        <w:t xml:space="preserve">the remaining bond maturities, </w:t>
      </w:r>
      <w:r w:rsidR="007A0AB5">
        <w:t xml:space="preserve">the </w:t>
      </w:r>
      <w:r>
        <w:t xml:space="preserve">remaining </w:t>
      </w:r>
      <w:r w:rsidR="0032522A">
        <w:t xml:space="preserve">bond </w:t>
      </w:r>
      <w:r>
        <w:t>payment amounts</w:t>
      </w:r>
      <w:r w:rsidR="0032522A">
        <w:t xml:space="preserve"> and timing thereof</w:t>
      </w:r>
      <w:r>
        <w:t>, and any other relevant inputs necessary for the calculation</w:t>
      </w:r>
      <w:r w:rsidR="00EA5EF6">
        <w:t xml:space="preserve"> of the remaining ADFIT benefits </w:t>
      </w:r>
      <w:r w:rsidR="002A62C1">
        <w:t xml:space="preserve">that may be </w:t>
      </w:r>
      <w:r w:rsidR="00EA5EF6">
        <w:t xml:space="preserve">associated with the </w:t>
      </w:r>
      <w:r w:rsidR="002A62C1">
        <w:t xml:space="preserve">remaining ADFIT balances of CEHE’s relevant </w:t>
      </w:r>
      <w:r w:rsidR="00EA5EF6">
        <w:t>securitized bond issuances</w:t>
      </w:r>
      <w:r>
        <w:t>.</w:t>
      </w:r>
    </w:p>
    <w:p w:rsidR="00C057E8" w:rsidRDefault="00C057E8" w:rsidP="009348C3">
      <w:pPr>
        <w:pStyle w:val="ListParagraph"/>
        <w:ind w:right="576"/>
      </w:pPr>
    </w:p>
    <w:p w:rsidR="00C057E8" w:rsidRDefault="001B1738" w:rsidP="009348C3">
      <w:pPr>
        <w:pStyle w:val="FOFCOL"/>
        <w:numPr>
          <w:ilvl w:val="0"/>
          <w:numId w:val="38"/>
        </w:numPr>
        <w:tabs>
          <w:tab w:val="num" w:pos="1260"/>
        </w:tabs>
        <w:spacing w:before="0" w:line="240" w:lineRule="auto"/>
        <w:ind w:right="576"/>
      </w:pPr>
      <w:r>
        <w:t xml:space="preserve">Given that in Docket No. 37200 the Commission </w:t>
      </w:r>
      <w:r w:rsidR="00EA41D6">
        <w:t>used a different approach in reflecting</w:t>
      </w:r>
      <w:r w:rsidR="00C941FA">
        <w:t xml:space="preserve"> ADFIT benefits by including in ongoing monthly billings</w:t>
      </w:r>
      <w:r w:rsidR="00536291">
        <w:t xml:space="preserve"> </w:t>
      </w:r>
      <w:r w:rsidR="00C941FA">
        <w:t xml:space="preserve">a </w:t>
      </w:r>
      <w:r>
        <w:t xml:space="preserve">separate ADFIT credit tariff, </w:t>
      </w:r>
      <w:r w:rsidR="003124E4">
        <w:t xml:space="preserve">the amounts underlying </w:t>
      </w:r>
      <w:r>
        <w:t>implementation of that approach would need revision</w:t>
      </w:r>
      <w:r w:rsidR="00EA41D6">
        <w:t>, on a going-forward basis,</w:t>
      </w:r>
      <w:r>
        <w:t xml:space="preserve"> if the Commission ordered a </w:t>
      </w:r>
      <w:r w:rsidR="003124E4">
        <w:t xml:space="preserve">refund of the EDIT </w:t>
      </w:r>
      <w:r>
        <w:t xml:space="preserve">balance associated with that securitization transaction.  </w:t>
      </w:r>
    </w:p>
    <w:p w:rsidR="00C545FA" w:rsidRDefault="00C545FA" w:rsidP="009348C3">
      <w:pPr>
        <w:pStyle w:val="ListParagraph"/>
        <w:ind w:right="576"/>
      </w:pPr>
    </w:p>
    <w:p w:rsidR="00EA5EF6" w:rsidRDefault="00EA5EF6" w:rsidP="009348C3">
      <w:pPr>
        <w:pStyle w:val="FOFCOL"/>
        <w:numPr>
          <w:ilvl w:val="0"/>
          <w:numId w:val="38"/>
        </w:numPr>
        <w:tabs>
          <w:tab w:val="num" w:pos="1260"/>
        </w:tabs>
        <w:spacing w:before="0" w:line="240" w:lineRule="auto"/>
        <w:ind w:right="576"/>
      </w:pPr>
      <w:r>
        <w:t xml:space="preserve">I believe that some amounts of the ADFIT balances (and thus some amounts of the EDIT balances) may not be attributable to </w:t>
      </w:r>
      <w:r w:rsidRPr="00831FD3">
        <w:rPr>
          <w:i/>
        </w:rPr>
        <w:t>ratepayer-supplied</w:t>
      </w:r>
      <w:r>
        <w:t xml:space="preserve"> capital.  </w:t>
      </w:r>
      <w:r w:rsidR="002A62C1">
        <w:t>That is</w:t>
      </w:r>
      <w:r>
        <w:t>, even though CEHE may have ADFIT balances associated with each of the securitized</w:t>
      </w:r>
      <w:r w:rsidR="00831FD3">
        <w:t xml:space="preserve"> bond issuances, not all of those</w:t>
      </w:r>
      <w:r>
        <w:t xml:space="preserve"> </w:t>
      </w:r>
      <w:r>
        <w:lastRenderedPageBreak/>
        <w:t xml:space="preserve">amounts may reflect monies that ratepayers have provided.  </w:t>
      </w:r>
      <w:r w:rsidR="00831FD3">
        <w:t xml:space="preserve">This </w:t>
      </w:r>
      <w:r w:rsidR="002A62C1">
        <w:t>type of situation contrasts with</w:t>
      </w:r>
      <w:r>
        <w:t xml:space="preserve"> the more common </w:t>
      </w:r>
      <w:r w:rsidR="001B1738">
        <w:t xml:space="preserve">one </w:t>
      </w:r>
      <w:r w:rsidR="002A62C1">
        <w:t>in which cost-free capital arises</w:t>
      </w:r>
      <w:r>
        <w:t xml:space="preserve"> from ADFIT balances created as a result of </w:t>
      </w:r>
      <w:r w:rsidR="002A62C1">
        <w:t xml:space="preserve">ratepayers paying charges that include </w:t>
      </w:r>
      <w:r w:rsidR="00BC009A">
        <w:t xml:space="preserve">“normalized” </w:t>
      </w:r>
      <w:r w:rsidR="002A62C1">
        <w:t xml:space="preserve">cost-of-service tax amounts </w:t>
      </w:r>
      <w:r w:rsidR="00BC009A">
        <w:t>that, because of temporary timing differences in expense recognition for tax and book purposes,</w:t>
      </w:r>
      <w:r w:rsidR="002A62C1">
        <w:t xml:space="preserve"> </w:t>
      </w:r>
      <w:r w:rsidR="00BC009A">
        <w:t>differ from tax liabilities that are currently payable</w:t>
      </w:r>
      <w:r w:rsidR="00C545FA">
        <w:t>.</w:t>
      </w:r>
      <w:r w:rsidR="001B1738">
        <w:t xml:space="preserve">  Consequently, I am not certain what portion (if any) of the EDIT balance related to the system restoration costs authorized for securitized recovery should be subject to refund to customers.</w:t>
      </w:r>
    </w:p>
    <w:p w:rsidR="00C545FA" w:rsidRDefault="00C545FA" w:rsidP="009348C3">
      <w:pPr>
        <w:pStyle w:val="ListParagraph"/>
        <w:ind w:right="576"/>
      </w:pPr>
    </w:p>
    <w:p w:rsidR="00C545FA" w:rsidRDefault="00C545FA" w:rsidP="009348C3">
      <w:pPr>
        <w:pStyle w:val="FOFCOL"/>
        <w:numPr>
          <w:ilvl w:val="0"/>
          <w:numId w:val="38"/>
        </w:numPr>
        <w:tabs>
          <w:tab w:val="num" w:pos="1260"/>
        </w:tabs>
        <w:spacing w:before="0" w:line="240" w:lineRule="auto"/>
        <w:ind w:right="576"/>
      </w:pPr>
      <w:r>
        <w:t xml:space="preserve">The Commission may determine that, in the context of financing orders for securitization transactions, the consequences of settlement agreements are different from those </w:t>
      </w:r>
      <w:r w:rsidR="00322767">
        <w:t>resulting from settlement agreements in</w:t>
      </w:r>
      <w:r>
        <w:t xml:space="preserve"> rate proceedings of a traditional nature.  </w:t>
      </w:r>
      <w:r w:rsidR="00DA3C97">
        <w:t xml:space="preserve">Related to this point, </w:t>
      </w:r>
      <w:r>
        <w:t xml:space="preserve">I would note </w:t>
      </w:r>
      <w:r w:rsidR="00DA3C97">
        <w:t xml:space="preserve">that </w:t>
      </w:r>
      <w:r>
        <w:t>securitization financing is a special type of financing that PURA expressly a</w:t>
      </w:r>
      <w:r w:rsidR="00404193">
        <w:t>uthorizes</w:t>
      </w:r>
      <w:r w:rsidR="00831FD3">
        <w:t xml:space="preserve"> for specific purposes—with</w:t>
      </w:r>
      <w:r w:rsidR="00D22C9D">
        <w:t xml:space="preserve"> </w:t>
      </w:r>
      <w:r w:rsidR="00831FD3">
        <w:t xml:space="preserve">one </w:t>
      </w:r>
      <w:r w:rsidR="002A62C1">
        <w:t xml:space="preserve">particularly </w:t>
      </w:r>
      <w:r w:rsidR="00D04FA8">
        <w:t>important</w:t>
      </w:r>
      <w:r w:rsidR="00B93262">
        <w:t xml:space="preserve"> and overarching</w:t>
      </w:r>
      <w:r w:rsidR="00D04FA8">
        <w:t xml:space="preserve"> </w:t>
      </w:r>
      <w:r w:rsidR="00831FD3">
        <w:t>purpose</w:t>
      </w:r>
      <w:r w:rsidR="00D04FA8">
        <w:t xml:space="preserve"> being</w:t>
      </w:r>
      <w:r w:rsidR="00831FD3">
        <w:t xml:space="preserve">, I believe, </w:t>
      </w:r>
      <w:r w:rsidR="00B93262">
        <w:t xml:space="preserve">the achievement and assurance of capital costs at the most advantageous financing terms available.  </w:t>
      </w:r>
      <w:r w:rsidR="00404193">
        <w:t>T</w:t>
      </w:r>
      <w:r w:rsidR="00DA3C97">
        <w:t>hat is</w:t>
      </w:r>
      <w:r>
        <w:t xml:space="preserve">, </w:t>
      </w:r>
      <w:r w:rsidR="007C4261">
        <w:t xml:space="preserve">the </w:t>
      </w:r>
      <w:r w:rsidR="00404193">
        <w:t xml:space="preserve">process underlying the issuance and </w:t>
      </w:r>
      <w:r w:rsidR="002A62C1">
        <w:t xml:space="preserve">terms </w:t>
      </w:r>
      <w:r w:rsidR="007C4261">
        <w:t xml:space="preserve">of </w:t>
      </w:r>
      <w:r w:rsidR="00404193">
        <w:t>securitized</w:t>
      </w:r>
      <w:r w:rsidR="007C4261">
        <w:t xml:space="preserve"> bonds</w:t>
      </w:r>
      <w:r w:rsidR="002A62C1">
        <w:t xml:space="preserve">—as </w:t>
      </w:r>
      <w:r w:rsidR="00D04FA8">
        <w:t xml:space="preserve">provided for in very specific </w:t>
      </w:r>
      <w:r w:rsidR="002A62C1">
        <w:t>statutory provisions—</w:t>
      </w:r>
      <w:r w:rsidR="00404193">
        <w:t>is</w:t>
      </w:r>
      <w:r w:rsidR="007C4261">
        <w:t xml:space="preserve"> designed to </w:t>
      </w:r>
      <w:r w:rsidR="00831FD3">
        <w:t>essentially guarantee repayment</w:t>
      </w:r>
      <w:r w:rsidR="00B93262">
        <w:t xml:space="preserve"> of the bonds</w:t>
      </w:r>
      <w:r w:rsidR="00831FD3">
        <w:t xml:space="preserve">, thus </w:t>
      </w:r>
      <w:r w:rsidR="007C4261">
        <w:t>a</w:t>
      </w:r>
      <w:r w:rsidR="00831FD3">
        <w:t>chieving</w:t>
      </w:r>
      <w:r w:rsidR="007C4261">
        <w:t xml:space="preserve"> the </w:t>
      </w:r>
      <w:r>
        <w:t xml:space="preserve">highest </w:t>
      </w:r>
      <w:r w:rsidR="007C4261">
        <w:t xml:space="preserve">possible </w:t>
      </w:r>
      <w:r>
        <w:t>credit ratings</w:t>
      </w:r>
      <w:r w:rsidR="00DA3C97">
        <w:t xml:space="preserve"> and the lowest possible ratepayer costs</w:t>
      </w:r>
      <w:r>
        <w:t>.</w:t>
      </w:r>
      <w:r w:rsidR="007C4261">
        <w:t xml:space="preserve">  </w:t>
      </w:r>
      <w:r w:rsidR="00D04FA8">
        <w:t>The impact of the TCJA notwithstanding, t</w:t>
      </w:r>
      <w:r>
        <w:t>he Commission may determine that</w:t>
      </w:r>
      <w:r w:rsidR="00DA3C97">
        <w:t xml:space="preserve"> </w:t>
      </w:r>
      <w:r w:rsidR="00FD2867">
        <w:t xml:space="preserve">if it takes any actions on securitization-related </w:t>
      </w:r>
      <w:r w:rsidR="00DA3C97">
        <w:t>EDIT</w:t>
      </w:r>
      <w:r w:rsidR="00FD2867">
        <w:t xml:space="preserve">, </w:t>
      </w:r>
      <w:r w:rsidR="007C4261">
        <w:t xml:space="preserve">there is a risk that capital markets </w:t>
      </w:r>
      <w:r w:rsidR="00FD2867">
        <w:t xml:space="preserve">and credit rating agencies </w:t>
      </w:r>
      <w:r w:rsidR="00D04FA8">
        <w:t>w</w:t>
      </w:r>
      <w:r w:rsidR="007C4261">
        <w:t xml:space="preserve">ould view </w:t>
      </w:r>
      <w:r w:rsidR="00FD2867">
        <w:t xml:space="preserve">such actions </w:t>
      </w:r>
      <w:r w:rsidR="007C4261">
        <w:t>as a crack in the well-established process</w:t>
      </w:r>
      <w:r w:rsidR="009348C3">
        <w:t>es</w:t>
      </w:r>
      <w:r w:rsidR="007C4261">
        <w:t xml:space="preserve"> and standards applicable to </w:t>
      </w:r>
      <w:r w:rsidR="000949F4">
        <w:t xml:space="preserve">Texas’ </w:t>
      </w:r>
      <w:r w:rsidR="00FD2867">
        <w:t xml:space="preserve">statutorily authorized </w:t>
      </w:r>
      <w:r w:rsidR="007C4261">
        <w:t xml:space="preserve">securitized bonds, </w:t>
      </w:r>
      <w:r w:rsidR="00FD2867">
        <w:t xml:space="preserve">leading </w:t>
      </w:r>
      <w:r w:rsidR="00322767">
        <w:t xml:space="preserve">possibly </w:t>
      </w:r>
      <w:r w:rsidR="00FD2867">
        <w:t xml:space="preserve">to a </w:t>
      </w:r>
      <w:r w:rsidR="000949F4">
        <w:t xml:space="preserve">market </w:t>
      </w:r>
      <w:r w:rsidR="00FD2867">
        <w:t>reappraisal of the risk of these types of securities and a</w:t>
      </w:r>
      <w:r w:rsidR="00D22C9D">
        <w:t>n</w:t>
      </w:r>
      <w:r w:rsidR="00FD2867">
        <w:t xml:space="preserve"> increase in </w:t>
      </w:r>
      <w:r w:rsidR="00B93262">
        <w:t xml:space="preserve">the </w:t>
      </w:r>
      <w:r w:rsidR="000949F4">
        <w:t xml:space="preserve">financing </w:t>
      </w:r>
      <w:r w:rsidR="00FD2867">
        <w:t>cost</w:t>
      </w:r>
      <w:r w:rsidR="000949F4">
        <w:t>s</w:t>
      </w:r>
      <w:r w:rsidR="00B93262">
        <w:t xml:space="preserve"> for future securitization transactions</w:t>
      </w:r>
      <w:r w:rsidR="000949F4">
        <w:t>.</w:t>
      </w:r>
      <w:r w:rsidR="00B93262">
        <w:t xml:space="preserve">  After consideration of this possible risk, the Commission may </w:t>
      </w:r>
      <w:r w:rsidR="0032522A">
        <w:t>reach a policy conclusion</w:t>
      </w:r>
      <w:r w:rsidR="00B93262">
        <w:t xml:space="preserve"> that, once</w:t>
      </w:r>
      <w:r w:rsidR="0032522A">
        <w:t xml:space="preserve"> financing order</w:t>
      </w:r>
      <w:r w:rsidR="009348C3">
        <w:t>s have</w:t>
      </w:r>
      <w:r w:rsidR="00B93262">
        <w:t xml:space="preserve"> been issued and </w:t>
      </w:r>
      <w:r w:rsidR="0032522A">
        <w:t>the related securitized bond transaction</w:t>
      </w:r>
      <w:r w:rsidR="009348C3">
        <w:t>s</w:t>
      </w:r>
      <w:r w:rsidR="00B93262">
        <w:t xml:space="preserve"> ha</w:t>
      </w:r>
      <w:r w:rsidR="009348C3">
        <w:t>ve</w:t>
      </w:r>
      <w:r w:rsidR="00B93262">
        <w:t xml:space="preserve"> been completed, further actions related to the original terms of such </w:t>
      </w:r>
      <w:r w:rsidR="0032522A">
        <w:t>transaction</w:t>
      </w:r>
      <w:r w:rsidR="009348C3">
        <w:t>s</w:t>
      </w:r>
      <w:r w:rsidR="00B93262">
        <w:t xml:space="preserve"> are not in the overall public interest.</w:t>
      </w:r>
      <w:r w:rsidR="00FD2867">
        <w:t xml:space="preserve">  </w:t>
      </w:r>
    </w:p>
    <w:p w:rsidR="00123388" w:rsidRDefault="00123388" w:rsidP="007768DC">
      <w:pPr>
        <w:pStyle w:val="FOFCOL"/>
        <w:tabs>
          <w:tab w:val="num" w:pos="1260"/>
        </w:tabs>
        <w:spacing w:before="0" w:line="240" w:lineRule="auto"/>
        <w:ind w:right="720"/>
      </w:pPr>
    </w:p>
    <w:p w:rsidR="0028020F" w:rsidRPr="007C4261" w:rsidRDefault="007C4261" w:rsidP="00B93262">
      <w:pPr>
        <w:pStyle w:val="FOFCOL"/>
        <w:tabs>
          <w:tab w:val="num" w:pos="1260"/>
        </w:tabs>
        <w:spacing w:before="0" w:line="480" w:lineRule="exact"/>
        <w:ind w:right="360"/>
        <w:rPr>
          <w:b/>
        </w:rPr>
      </w:pPr>
      <w:r w:rsidRPr="007C4261">
        <w:rPr>
          <w:b/>
        </w:rPr>
        <w:t>Q.</w:t>
      </w:r>
      <w:r w:rsidRPr="007C4261">
        <w:rPr>
          <w:b/>
        </w:rPr>
        <w:tab/>
        <w:t xml:space="preserve">What is your recommendation with regard to the treatment of CEHE’s securitization-related EDIT? </w:t>
      </w:r>
    </w:p>
    <w:p w:rsidR="00123388" w:rsidRDefault="007C4261" w:rsidP="00B93262">
      <w:pPr>
        <w:pStyle w:val="FOFCOL"/>
        <w:tabs>
          <w:tab w:val="num" w:pos="1260"/>
        </w:tabs>
        <w:spacing w:before="0" w:line="480" w:lineRule="exact"/>
        <w:ind w:right="360"/>
      </w:pPr>
      <w:r>
        <w:t>A.</w:t>
      </w:r>
      <w:r>
        <w:tab/>
        <w:t xml:space="preserve">As I have discussed </w:t>
      </w:r>
      <w:r w:rsidR="00536291">
        <w:t xml:space="preserve">in </w:t>
      </w:r>
      <w:r w:rsidR="00B93262">
        <w:t>substantial</w:t>
      </w:r>
      <w:r w:rsidR="00536291">
        <w:t xml:space="preserve"> detail </w:t>
      </w:r>
      <w:r w:rsidR="00D22C9D">
        <w:t>in this section of my testimony</w:t>
      </w:r>
      <w:r>
        <w:t xml:space="preserve">, I believe there are a number of important </w:t>
      </w:r>
      <w:r w:rsidR="00D22C9D">
        <w:t>factors worthy of the Commission’s attention as it considers this issue</w:t>
      </w:r>
      <w:r>
        <w:t xml:space="preserve">.  </w:t>
      </w:r>
      <w:r w:rsidR="00655170">
        <w:t>P</w:t>
      </w:r>
      <w:r w:rsidR="00D22C9D">
        <w:t xml:space="preserve">erhaps </w:t>
      </w:r>
      <w:r w:rsidR="000259FB">
        <w:t xml:space="preserve">the </w:t>
      </w:r>
      <w:r w:rsidR="00A6007C">
        <w:t xml:space="preserve">two </w:t>
      </w:r>
      <w:r w:rsidR="000259FB">
        <w:t xml:space="preserve">most </w:t>
      </w:r>
      <w:r w:rsidR="00D04FA8">
        <w:t xml:space="preserve">emphasis-worthy </w:t>
      </w:r>
      <w:r w:rsidR="00457A87">
        <w:t>point</w:t>
      </w:r>
      <w:r w:rsidR="00A6007C">
        <w:t>s</w:t>
      </w:r>
      <w:r w:rsidR="00655170">
        <w:t xml:space="preserve"> in this regard </w:t>
      </w:r>
      <w:r w:rsidR="00A6007C">
        <w:t>are</w:t>
      </w:r>
      <w:r w:rsidR="00457A87">
        <w:t xml:space="preserve"> that </w:t>
      </w:r>
      <w:r w:rsidR="00A6007C">
        <w:t xml:space="preserve">(1) </w:t>
      </w:r>
      <w:r>
        <w:t xml:space="preserve">the $158 million EDIT amount that CEHE transferred to income is clearly of considerable </w:t>
      </w:r>
      <w:r>
        <w:lastRenderedPageBreak/>
        <w:t>magnitude</w:t>
      </w:r>
      <w:r w:rsidR="00A6007C">
        <w:t>,</w:t>
      </w:r>
      <w:r w:rsidR="00D22C9D">
        <w:rPr>
          <w:rStyle w:val="FootnoteReference"/>
        </w:rPr>
        <w:footnoteReference w:id="27"/>
      </w:r>
      <w:r w:rsidR="00A6007C">
        <w:t xml:space="preserve"> and (2) there may be a risk that capital markets and credit rating agencies would view in a negative light any Commission actions that alter certain aspects of prior securitization-related decisions</w:t>
      </w:r>
      <w:r w:rsidR="00117EE9">
        <w:t xml:space="preserve">.  </w:t>
      </w:r>
      <w:r w:rsidR="00D44EE0">
        <w:t>With regard to the latter point, s</w:t>
      </w:r>
      <w:r w:rsidR="00117EE9">
        <w:t>uch</w:t>
      </w:r>
      <w:r w:rsidR="008B6F2E">
        <w:t xml:space="preserve"> a result</w:t>
      </w:r>
      <w:r w:rsidR="00A6007C">
        <w:t xml:space="preserve"> could affect </w:t>
      </w:r>
      <w:r w:rsidR="00A203DC">
        <w:t xml:space="preserve">the perceptions of, and </w:t>
      </w:r>
      <w:r w:rsidR="00A6007C">
        <w:t>financing costs for</w:t>
      </w:r>
      <w:r w:rsidR="00A203DC">
        <w:t>,</w:t>
      </w:r>
      <w:r w:rsidR="00A6007C">
        <w:t xml:space="preserve"> future securitization transactions.</w:t>
      </w:r>
    </w:p>
    <w:p w:rsidR="007C4261" w:rsidRDefault="007C4261" w:rsidP="00B93262">
      <w:pPr>
        <w:pStyle w:val="FOFCOL"/>
        <w:tabs>
          <w:tab w:val="num" w:pos="1260"/>
        </w:tabs>
        <w:spacing w:before="0" w:line="480" w:lineRule="exact"/>
        <w:ind w:right="360"/>
      </w:pPr>
      <w:r>
        <w:tab/>
      </w:r>
      <w:r>
        <w:tab/>
      </w:r>
      <w:r w:rsidR="00457A87">
        <w:t xml:space="preserve">Given </w:t>
      </w:r>
      <w:r w:rsidR="000259FB">
        <w:t xml:space="preserve">all </w:t>
      </w:r>
      <w:r w:rsidR="00457A87">
        <w:t xml:space="preserve">the above discussion, </w:t>
      </w:r>
      <w:r w:rsidR="00CE0C47">
        <w:t xml:space="preserve">I do not believe that </w:t>
      </w:r>
      <w:r w:rsidR="00457A87">
        <w:t xml:space="preserve">in this proceeding </w:t>
      </w:r>
      <w:r w:rsidR="00E3007E">
        <w:t xml:space="preserve">a </w:t>
      </w:r>
      <w:r w:rsidR="00CE0C47">
        <w:t>sufficient</w:t>
      </w:r>
      <w:r w:rsidR="00EC649C">
        <w:t xml:space="preserve"> and</w:t>
      </w:r>
      <w:r w:rsidR="00E3007E">
        <w:t xml:space="preserve"> thorough amount of </w:t>
      </w:r>
      <w:r w:rsidR="00CE0C47">
        <w:t>information and evidence ex</w:t>
      </w:r>
      <w:r w:rsidR="00474C0A">
        <w:t xml:space="preserve">ists for the Commission to make </w:t>
      </w:r>
      <w:r w:rsidR="00CE0C47">
        <w:t>an appropriately informed decision.  Accordingly</w:t>
      </w:r>
      <w:r>
        <w:t xml:space="preserve">, </w:t>
      </w:r>
      <w:r w:rsidR="001A1DC6">
        <w:t>if the Commission believes</w:t>
      </w:r>
      <w:r w:rsidR="00E51ACB">
        <w:t xml:space="preserve"> that</w:t>
      </w:r>
      <w:r w:rsidR="001A1DC6">
        <w:t xml:space="preserve"> this issue warrants additional review</w:t>
      </w:r>
      <w:r w:rsidR="00EC649C">
        <w:t xml:space="preserve"> and possible action</w:t>
      </w:r>
      <w:r w:rsidR="001A1DC6">
        <w:t xml:space="preserve">, </w:t>
      </w:r>
      <w:r>
        <w:t>I recommend that the Commission require CEHE to file</w:t>
      </w:r>
      <w:r w:rsidR="00CE0C47">
        <w:t xml:space="preserve">, by </w:t>
      </w:r>
      <w:r w:rsidR="00E3007E">
        <w:t>a Commission-determined date</w:t>
      </w:r>
      <w:r w:rsidR="00CE0C47">
        <w:t xml:space="preserve">, </w:t>
      </w:r>
      <w:r>
        <w:t xml:space="preserve">a separate proceeding </w:t>
      </w:r>
      <w:r w:rsidR="00CE0C47">
        <w:t xml:space="preserve">to specifically address the appropriate treatment of EDIT amounts related to CEHE’s four securitized bond issuances still outstanding.  CEHE’s filing should include information </w:t>
      </w:r>
      <w:r w:rsidR="00E3007E">
        <w:t xml:space="preserve">responsive to </w:t>
      </w:r>
      <w:r w:rsidR="00CE0C47">
        <w:t xml:space="preserve">the points I </w:t>
      </w:r>
      <w:r w:rsidR="00E3007E">
        <w:t xml:space="preserve">have </w:t>
      </w:r>
      <w:r w:rsidR="00CE0C47">
        <w:t xml:space="preserve">discussed </w:t>
      </w:r>
      <w:r w:rsidR="00E3007E">
        <w:t>in this section of my testimony</w:t>
      </w:r>
      <w:r w:rsidR="00CE0C47">
        <w:t xml:space="preserve">, and any other information </w:t>
      </w:r>
      <w:r w:rsidR="000259FB">
        <w:t>that CEHE—and the Commission—</w:t>
      </w:r>
      <w:r w:rsidR="00457A87">
        <w:t>believe</w:t>
      </w:r>
      <w:r w:rsidR="00CE0C47">
        <w:t xml:space="preserve"> </w:t>
      </w:r>
      <w:r w:rsidR="000259FB">
        <w:t>may be</w:t>
      </w:r>
      <w:r w:rsidR="00CE0C47">
        <w:t xml:space="preserve"> relevant and necessary for the Commission to consider. </w:t>
      </w:r>
    </w:p>
    <w:p w:rsidR="00123388" w:rsidRPr="00BF0520" w:rsidRDefault="00123388" w:rsidP="00B93262">
      <w:pPr>
        <w:pStyle w:val="FOFCOL"/>
        <w:tabs>
          <w:tab w:val="num" w:pos="1260"/>
        </w:tabs>
        <w:spacing w:before="0" w:line="240" w:lineRule="auto"/>
        <w:ind w:right="360"/>
        <w:rPr>
          <w:u w:val="single"/>
        </w:rPr>
      </w:pPr>
    </w:p>
    <w:p w:rsidR="002A79A5" w:rsidRPr="00B74093" w:rsidRDefault="002A79A5" w:rsidP="00B93262">
      <w:pPr>
        <w:pStyle w:val="BodyTextIndent2"/>
        <w:spacing w:line="480" w:lineRule="exact"/>
        <w:ind w:right="360"/>
        <w:jc w:val="both"/>
      </w:pPr>
      <w:r w:rsidRPr="00B74093">
        <w:rPr>
          <w:b/>
        </w:rPr>
        <w:t>Q.</w:t>
      </w:r>
      <w:r w:rsidRPr="00B74093">
        <w:rPr>
          <w:b/>
        </w:rPr>
        <w:tab/>
        <w:t xml:space="preserve">Does this </w:t>
      </w:r>
      <w:r w:rsidR="008817B3">
        <w:rPr>
          <w:b/>
        </w:rPr>
        <w:t>conclude</w:t>
      </w:r>
      <w:r w:rsidRPr="00B74093">
        <w:rPr>
          <w:b/>
        </w:rPr>
        <w:t xml:space="preserve"> your testimony?</w:t>
      </w:r>
    </w:p>
    <w:p w:rsidR="002A79A5" w:rsidRPr="0092752C" w:rsidRDefault="006F275F" w:rsidP="00B93262">
      <w:pPr>
        <w:pStyle w:val="BodyTextIndent2"/>
        <w:spacing w:line="480" w:lineRule="exact"/>
        <w:ind w:right="360"/>
        <w:jc w:val="both"/>
        <w:sectPr w:rsidR="002A79A5" w:rsidRPr="0092752C" w:rsidSect="001A1828">
          <w:headerReference w:type="even" r:id="rId10"/>
          <w:headerReference w:type="default" r:id="rId11"/>
          <w:footerReference w:type="even" r:id="rId12"/>
          <w:footerReference w:type="default" r:id="rId13"/>
          <w:headerReference w:type="first" r:id="rId14"/>
          <w:footerReference w:type="first" r:id="rId15"/>
          <w:pgSz w:w="12240" w:h="15840" w:code="1"/>
          <w:pgMar w:top="900" w:right="1440" w:bottom="1260" w:left="1440" w:header="720" w:footer="503" w:gutter="0"/>
          <w:lnNumType w:countBy="1"/>
          <w:pgNumType w:start="0"/>
          <w:cols w:space="720"/>
          <w:titlePg/>
          <w:docGrid w:linePitch="272"/>
        </w:sectPr>
      </w:pPr>
      <w:r>
        <w:t>A.</w:t>
      </w:r>
      <w:r>
        <w:tab/>
        <w:t>Yes</w:t>
      </w:r>
      <w:r w:rsidR="00D02E98">
        <w:t>.</w:t>
      </w:r>
    </w:p>
    <w:p w:rsidR="00176128" w:rsidRDefault="00176128" w:rsidP="00176128">
      <w:pPr>
        <w:pStyle w:val="PlainText"/>
        <w:tabs>
          <w:tab w:val="left" w:pos="7020"/>
        </w:tabs>
        <w:jc w:val="center"/>
        <w:outlineLvl w:val="0"/>
        <w:rPr>
          <w:rFonts w:ascii="Times New Roman" w:hAnsi="Times New Roman"/>
          <w:sz w:val="24"/>
        </w:rPr>
      </w:pPr>
      <w:r>
        <w:rPr>
          <w:rFonts w:ascii="Times New Roman" w:hAnsi="Times New Roman"/>
          <w:sz w:val="24"/>
        </w:rPr>
        <w:lastRenderedPageBreak/>
        <w:tab/>
        <w:t xml:space="preserve">     Attachment DT-1</w:t>
      </w:r>
    </w:p>
    <w:p w:rsidR="00176128" w:rsidRDefault="00176128" w:rsidP="00176128">
      <w:pPr>
        <w:pStyle w:val="PlainText"/>
        <w:tabs>
          <w:tab w:val="left" w:pos="7020"/>
        </w:tabs>
        <w:jc w:val="center"/>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 xml:space="preserve">Page 1 of </w:t>
      </w:r>
      <w:r w:rsidR="003F034A">
        <w:rPr>
          <w:rFonts w:ascii="Times New Roman" w:hAnsi="Times New Roman"/>
          <w:sz w:val="24"/>
        </w:rPr>
        <w:t>3</w:t>
      </w:r>
    </w:p>
    <w:p w:rsidR="00176128" w:rsidRDefault="00176128" w:rsidP="00176128">
      <w:pPr>
        <w:pStyle w:val="PlainText"/>
        <w:tabs>
          <w:tab w:val="left" w:pos="7020"/>
        </w:tabs>
        <w:jc w:val="center"/>
        <w:outlineLvl w:val="0"/>
        <w:rPr>
          <w:rFonts w:ascii="Times New Roman" w:hAnsi="Times New Roman"/>
          <w:b/>
          <w:sz w:val="24"/>
        </w:rPr>
      </w:pPr>
    </w:p>
    <w:p w:rsidR="00176128" w:rsidRDefault="00176128" w:rsidP="00176128">
      <w:pPr>
        <w:pStyle w:val="PlainText"/>
        <w:tabs>
          <w:tab w:val="left" w:pos="7020"/>
        </w:tabs>
        <w:jc w:val="center"/>
        <w:outlineLvl w:val="0"/>
        <w:rPr>
          <w:rFonts w:ascii="Times New Roman" w:hAnsi="Times New Roman"/>
          <w:b/>
          <w:sz w:val="24"/>
        </w:rPr>
      </w:pPr>
      <w:r>
        <w:rPr>
          <w:rFonts w:ascii="Times New Roman" w:hAnsi="Times New Roman"/>
          <w:b/>
          <w:sz w:val="24"/>
        </w:rPr>
        <w:t>LIST OF TESTIMONIES</w:t>
      </w:r>
    </w:p>
    <w:p w:rsidR="00176128" w:rsidRDefault="00176128" w:rsidP="00176128">
      <w:pPr>
        <w:suppressLineNumbers/>
        <w:ind w:right="360"/>
        <w:jc w:val="center"/>
        <w:rPr>
          <w:b/>
          <w:sz w:val="24"/>
        </w:rPr>
      </w:pPr>
      <w:r>
        <w:rPr>
          <w:b/>
          <w:sz w:val="24"/>
        </w:rPr>
        <w:t xml:space="preserve">     BY DARRYL TIETJEN</w:t>
      </w:r>
    </w:p>
    <w:p w:rsidR="00176128" w:rsidRDefault="00176128" w:rsidP="00176128">
      <w:pPr>
        <w:suppressLineNumbers/>
        <w:ind w:right="360"/>
        <w:jc w:val="center"/>
      </w:pPr>
    </w:p>
    <w:p w:rsidR="00176128" w:rsidRDefault="00176128" w:rsidP="00176128">
      <w:pPr>
        <w:pStyle w:val="PlainText"/>
        <w:rPr>
          <w:rFonts w:ascii="Times New Roman" w:hAnsi="Times New Roman"/>
          <w:sz w:val="24"/>
        </w:rPr>
      </w:pPr>
      <w:r>
        <w:rPr>
          <w:rFonts w:ascii="Times New Roman" w:hAnsi="Times New Roman"/>
          <w:sz w:val="24"/>
          <w:u w:val="single"/>
        </w:rPr>
        <w:t>P.U.C. Docket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u w:val="single"/>
        </w:rPr>
        <w:t>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u w:val="single"/>
        </w:rPr>
        <w:t>Subject</w:t>
      </w:r>
    </w:p>
    <w:p w:rsidR="00176128" w:rsidRDefault="00176128" w:rsidP="00176128">
      <w:pPr>
        <w:pStyle w:val="PlainText"/>
        <w:rPr>
          <w:rFonts w:ascii="Times New Roman" w:hAnsi="Times New Roman"/>
          <w:sz w:val="24"/>
        </w:rPr>
      </w:pPr>
      <w:r>
        <w:rPr>
          <w:rFonts w:ascii="Times New Roman" w:hAnsi="Times New Roman"/>
          <w:sz w:val="24"/>
        </w:rPr>
        <w:t>10060</w:t>
      </w:r>
      <w:r>
        <w:rPr>
          <w:rFonts w:ascii="Times New Roman" w:hAnsi="Times New Roman"/>
          <w:sz w:val="24"/>
        </w:rPr>
        <w:tab/>
      </w:r>
      <w:r>
        <w:rPr>
          <w:rFonts w:ascii="Times New Roman" w:hAnsi="Times New Roman"/>
          <w:sz w:val="24"/>
        </w:rPr>
        <w:tab/>
      </w:r>
      <w:r>
        <w:rPr>
          <w:rFonts w:ascii="Times New Roman" w:hAnsi="Times New Roman"/>
          <w:sz w:val="24"/>
        </w:rPr>
        <w:tab/>
        <w:t>Brazos River Authority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rsidR="00176128" w:rsidRDefault="00176128" w:rsidP="00176128">
      <w:pPr>
        <w:pStyle w:val="PlainText"/>
        <w:rPr>
          <w:rFonts w:ascii="Times New Roman" w:hAnsi="Times New Roman"/>
          <w:sz w:val="24"/>
        </w:rPr>
      </w:pPr>
      <w:r>
        <w:rPr>
          <w:rFonts w:ascii="Times New Roman" w:hAnsi="Times New Roman"/>
          <w:sz w:val="24"/>
        </w:rPr>
        <w:t>10462</w:t>
      </w:r>
      <w:r>
        <w:rPr>
          <w:rFonts w:ascii="Times New Roman" w:hAnsi="Times New Roman"/>
          <w:sz w:val="24"/>
        </w:rPr>
        <w:tab/>
      </w:r>
      <w:r>
        <w:rPr>
          <w:rFonts w:ascii="Times New Roman" w:hAnsi="Times New Roman"/>
          <w:sz w:val="24"/>
        </w:rPr>
        <w:tab/>
      </w:r>
      <w:r>
        <w:rPr>
          <w:rFonts w:ascii="Times New Roman" w:hAnsi="Times New Roman"/>
          <w:sz w:val="24"/>
        </w:rPr>
        <w:tab/>
        <w:t>Tex-La Electric Cooperative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Interim Rates/ROR</w:t>
      </w:r>
    </w:p>
    <w:p w:rsidR="00176128" w:rsidRDefault="00176128" w:rsidP="00176128">
      <w:pPr>
        <w:pStyle w:val="PlainText"/>
        <w:rPr>
          <w:rFonts w:ascii="Times New Roman" w:hAnsi="Times New Roman"/>
          <w:sz w:val="24"/>
        </w:rPr>
      </w:pPr>
      <w:r>
        <w:rPr>
          <w:rFonts w:ascii="Times New Roman" w:hAnsi="Times New Roman"/>
          <w:sz w:val="24"/>
        </w:rPr>
        <w:t>10325</w:t>
      </w:r>
      <w:r>
        <w:rPr>
          <w:rFonts w:ascii="Times New Roman" w:hAnsi="Times New Roman"/>
          <w:sz w:val="24"/>
        </w:rPr>
        <w:tab/>
      </w:r>
      <w:r>
        <w:rPr>
          <w:rFonts w:ascii="Times New Roman" w:hAnsi="Times New Roman"/>
          <w:sz w:val="24"/>
        </w:rPr>
        <w:tab/>
      </w:r>
      <w:r>
        <w:rPr>
          <w:rFonts w:ascii="Times New Roman" w:hAnsi="Times New Roman"/>
          <w:sz w:val="24"/>
        </w:rPr>
        <w:tab/>
        <w:t>Central Texas Electric Cooperative</w:t>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rsidR="00176128" w:rsidRDefault="00176128" w:rsidP="00176128">
      <w:pPr>
        <w:pStyle w:val="PlainText"/>
        <w:ind w:right="-90"/>
        <w:rPr>
          <w:rFonts w:ascii="Times New Roman" w:hAnsi="Times New Roman"/>
          <w:sz w:val="24"/>
        </w:rPr>
      </w:pPr>
      <w:r>
        <w:rPr>
          <w:rFonts w:ascii="Times New Roman" w:hAnsi="Times New Roman"/>
          <w:sz w:val="24"/>
        </w:rPr>
        <w:t>10744</w:t>
      </w:r>
      <w:r>
        <w:rPr>
          <w:rFonts w:ascii="Times New Roman" w:hAnsi="Times New Roman"/>
          <w:sz w:val="24"/>
        </w:rPr>
        <w:tab/>
      </w:r>
      <w:r>
        <w:rPr>
          <w:rFonts w:ascii="Times New Roman" w:hAnsi="Times New Roman"/>
          <w:sz w:val="24"/>
        </w:rPr>
        <w:tab/>
      </w:r>
      <w:r>
        <w:rPr>
          <w:rFonts w:ascii="Times New Roman" w:hAnsi="Times New Roman"/>
          <w:sz w:val="24"/>
        </w:rPr>
        <w:tab/>
        <w:t>Rayburn Country Electric Cooperative</w:t>
      </w:r>
      <w:r>
        <w:rPr>
          <w:rFonts w:ascii="Times New Roman" w:hAnsi="Times New Roman"/>
          <w:sz w:val="24"/>
        </w:rPr>
        <w:tab/>
      </w:r>
      <w:r>
        <w:rPr>
          <w:rFonts w:ascii="Times New Roman" w:hAnsi="Times New Roman"/>
          <w:sz w:val="24"/>
        </w:rPr>
        <w:tab/>
        <w:t>Sale, Transfer, Merger</w:t>
      </w:r>
    </w:p>
    <w:p w:rsidR="00176128" w:rsidRDefault="00176128" w:rsidP="00176128">
      <w:pPr>
        <w:pStyle w:val="PlainText"/>
        <w:rPr>
          <w:rFonts w:ascii="Times New Roman" w:hAnsi="Times New Roman"/>
          <w:sz w:val="24"/>
        </w:rPr>
      </w:pPr>
      <w:r>
        <w:rPr>
          <w:rFonts w:ascii="Times New Roman" w:hAnsi="Times New Roman"/>
          <w:sz w:val="24"/>
        </w:rPr>
        <w:t>10820</w:t>
      </w:r>
      <w:r>
        <w:rPr>
          <w:rFonts w:ascii="Times New Roman" w:hAnsi="Times New Roman"/>
          <w:sz w:val="24"/>
        </w:rPr>
        <w:tab/>
      </w:r>
      <w:r>
        <w:rPr>
          <w:rFonts w:ascii="Times New Roman" w:hAnsi="Times New Roman"/>
          <w:sz w:val="24"/>
        </w:rPr>
        <w:tab/>
      </w:r>
      <w:r>
        <w:rPr>
          <w:rFonts w:ascii="Times New Roman" w:hAnsi="Times New Roman"/>
          <w:sz w:val="24"/>
        </w:rPr>
        <w:tab/>
        <w:t>Magic Valley Electric Cooperative</w:t>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rsidR="00176128" w:rsidRDefault="00176128" w:rsidP="00176128">
      <w:pPr>
        <w:pStyle w:val="PlainText"/>
        <w:rPr>
          <w:rFonts w:ascii="Times New Roman" w:hAnsi="Times New Roman"/>
          <w:sz w:val="24"/>
        </w:rPr>
      </w:pPr>
      <w:r>
        <w:rPr>
          <w:rFonts w:ascii="Times New Roman" w:hAnsi="Times New Roman"/>
          <w:sz w:val="24"/>
        </w:rPr>
        <w:t>11347</w:t>
      </w:r>
      <w:r>
        <w:rPr>
          <w:rFonts w:ascii="Times New Roman" w:hAnsi="Times New Roman"/>
          <w:sz w:val="24"/>
        </w:rPr>
        <w:tab/>
      </w:r>
      <w:r>
        <w:rPr>
          <w:rFonts w:ascii="Times New Roman" w:hAnsi="Times New Roman"/>
          <w:sz w:val="24"/>
        </w:rPr>
        <w:tab/>
      </w:r>
      <w:r>
        <w:rPr>
          <w:rFonts w:ascii="Times New Roman" w:hAnsi="Times New Roman"/>
          <w:sz w:val="24"/>
        </w:rPr>
        <w:tab/>
        <w:t>Johnson County Electric Cooperative</w:t>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rsidR="00176128" w:rsidRDefault="00176128" w:rsidP="00176128">
      <w:pPr>
        <w:pStyle w:val="PlainText"/>
        <w:rPr>
          <w:rFonts w:ascii="Times New Roman" w:hAnsi="Times New Roman"/>
          <w:sz w:val="24"/>
        </w:rPr>
      </w:pPr>
      <w:r>
        <w:rPr>
          <w:rFonts w:ascii="Times New Roman" w:hAnsi="Times New Roman"/>
          <w:sz w:val="24"/>
        </w:rPr>
        <w:t>11571</w:t>
      </w:r>
      <w:r>
        <w:rPr>
          <w:rFonts w:ascii="Times New Roman" w:hAnsi="Times New Roman"/>
          <w:sz w:val="24"/>
        </w:rPr>
        <w:tab/>
      </w:r>
      <w:r>
        <w:rPr>
          <w:rFonts w:ascii="Times New Roman" w:hAnsi="Times New Roman"/>
          <w:sz w:val="24"/>
        </w:rPr>
        <w:tab/>
      </w:r>
      <w:r>
        <w:rPr>
          <w:rFonts w:ascii="Times New Roman" w:hAnsi="Times New Roman"/>
          <w:sz w:val="24"/>
        </w:rPr>
        <w:tab/>
        <w:t>Fayette Electric Cooperative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rsidR="00176128" w:rsidRDefault="00176128" w:rsidP="00176128">
      <w:pPr>
        <w:pStyle w:val="PlainText"/>
        <w:rPr>
          <w:rFonts w:ascii="Times New Roman" w:hAnsi="Times New Roman"/>
          <w:sz w:val="24"/>
        </w:rPr>
      </w:pPr>
      <w:r>
        <w:rPr>
          <w:rFonts w:ascii="Times New Roman" w:hAnsi="Times New Roman"/>
          <w:sz w:val="24"/>
        </w:rPr>
        <w:t>11520</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 Company</w:t>
      </w:r>
      <w:r>
        <w:rPr>
          <w:rFonts w:ascii="Times New Roman" w:hAnsi="Times New Roman"/>
          <w:sz w:val="24"/>
        </w:rPr>
        <w:tab/>
      </w:r>
      <w:r>
        <w:rPr>
          <w:rFonts w:ascii="Times New Roman" w:hAnsi="Times New Roman"/>
          <w:sz w:val="24"/>
        </w:rPr>
        <w:tab/>
        <w:t>Rate of Return</w:t>
      </w:r>
    </w:p>
    <w:p w:rsidR="00176128" w:rsidRDefault="00176128" w:rsidP="00176128">
      <w:pPr>
        <w:pStyle w:val="PlainText"/>
        <w:rPr>
          <w:rFonts w:ascii="Times New Roman" w:hAnsi="Times New Roman"/>
          <w:sz w:val="24"/>
        </w:rPr>
      </w:pPr>
      <w:r>
        <w:rPr>
          <w:rFonts w:ascii="Times New Roman" w:hAnsi="Times New Roman"/>
          <w:sz w:val="24"/>
        </w:rPr>
        <w:t>12065</w:t>
      </w:r>
      <w:r>
        <w:rPr>
          <w:rFonts w:ascii="Times New Roman" w:hAnsi="Times New Roman"/>
          <w:sz w:val="24"/>
        </w:rPr>
        <w:tab/>
      </w:r>
      <w:r>
        <w:rPr>
          <w:rFonts w:ascii="Times New Roman" w:hAnsi="Times New Roman"/>
          <w:sz w:val="24"/>
        </w:rPr>
        <w:tab/>
      </w:r>
      <w:r>
        <w:rPr>
          <w:rFonts w:ascii="Times New Roman" w:hAnsi="Times New Roman"/>
          <w:sz w:val="24"/>
        </w:rPr>
        <w:tab/>
        <w:t>Houston Lighting &amp; Power Company</w:t>
      </w:r>
      <w:r>
        <w:rPr>
          <w:rFonts w:ascii="Times New Roman" w:hAnsi="Times New Roman"/>
          <w:sz w:val="24"/>
        </w:rPr>
        <w:tab/>
      </w:r>
      <w:r>
        <w:rPr>
          <w:rFonts w:ascii="Times New Roman" w:hAnsi="Times New Roman"/>
          <w:sz w:val="24"/>
        </w:rPr>
        <w:tab/>
        <w:t>Decomm. Exp.</w:t>
      </w:r>
    </w:p>
    <w:p w:rsidR="00176128" w:rsidRDefault="00176128" w:rsidP="00176128">
      <w:pPr>
        <w:pStyle w:val="PlainText"/>
        <w:rPr>
          <w:rFonts w:ascii="Times New Roman" w:hAnsi="Times New Roman"/>
          <w:sz w:val="24"/>
        </w:rPr>
      </w:pPr>
      <w:r>
        <w:rPr>
          <w:rFonts w:ascii="Times New Roman" w:hAnsi="Times New Roman"/>
          <w:sz w:val="24"/>
        </w:rPr>
        <w:t>12700</w:t>
      </w:r>
      <w:r>
        <w:rPr>
          <w:rFonts w:ascii="Times New Roman" w:hAnsi="Times New Roman"/>
          <w:sz w:val="24"/>
        </w:rPr>
        <w:tab/>
      </w:r>
      <w:r>
        <w:rPr>
          <w:rFonts w:ascii="Times New Roman" w:hAnsi="Times New Roman"/>
          <w:sz w:val="24"/>
        </w:rPr>
        <w:tab/>
      </w:r>
      <w:r>
        <w:rPr>
          <w:rFonts w:ascii="Times New Roman" w:hAnsi="Times New Roman"/>
          <w:sz w:val="24"/>
        </w:rPr>
        <w:tab/>
        <w:t>El Paso Electric 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Moderation/</w:t>
      </w:r>
    </w:p>
    <w:p w:rsidR="00176128" w:rsidRDefault="00176128" w:rsidP="00176128">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Mirror CWIP</w:t>
      </w:r>
    </w:p>
    <w:p w:rsidR="00176128" w:rsidRDefault="00176128" w:rsidP="00176128">
      <w:pPr>
        <w:pStyle w:val="PlainText"/>
        <w:rPr>
          <w:rFonts w:ascii="Times New Roman" w:hAnsi="Times New Roman"/>
          <w:sz w:val="24"/>
        </w:rPr>
      </w:pPr>
      <w:r>
        <w:rPr>
          <w:rFonts w:ascii="Times New Roman" w:hAnsi="Times New Roman"/>
          <w:sz w:val="24"/>
        </w:rPr>
        <w:t>12815</w:t>
      </w:r>
      <w:r>
        <w:rPr>
          <w:rFonts w:ascii="Times New Roman" w:hAnsi="Times New Roman"/>
          <w:sz w:val="24"/>
        </w:rPr>
        <w:tab/>
      </w:r>
      <w:r>
        <w:rPr>
          <w:rFonts w:ascii="Times New Roman" w:hAnsi="Times New Roman"/>
          <w:sz w:val="24"/>
        </w:rPr>
        <w:tab/>
      </w:r>
      <w:r>
        <w:rPr>
          <w:rFonts w:ascii="Times New Roman" w:hAnsi="Times New Roman"/>
          <w:sz w:val="24"/>
        </w:rPr>
        <w:tab/>
        <w:t>Pedernales Electric Cooperative</w:t>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rsidR="00176128" w:rsidRDefault="00176128" w:rsidP="00176128">
      <w:pPr>
        <w:pStyle w:val="PlainText"/>
        <w:rPr>
          <w:rFonts w:ascii="Times New Roman" w:hAnsi="Times New Roman"/>
          <w:sz w:val="24"/>
        </w:rPr>
      </w:pPr>
      <w:r>
        <w:rPr>
          <w:rFonts w:ascii="Times New Roman" w:hAnsi="Times New Roman"/>
          <w:sz w:val="24"/>
        </w:rPr>
        <w:t>12820</w:t>
      </w:r>
      <w:r>
        <w:rPr>
          <w:rFonts w:ascii="Times New Roman" w:hAnsi="Times New Roman"/>
          <w:sz w:val="24"/>
        </w:rPr>
        <w:tab/>
      </w:r>
      <w:r>
        <w:rPr>
          <w:rFonts w:ascii="Times New Roman" w:hAnsi="Times New Roman"/>
          <w:sz w:val="24"/>
        </w:rPr>
        <w:tab/>
      </w:r>
      <w:r>
        <w:rPr>
          <w:rFonts w:ascii="Times New Roman" w:hAnsi="Times New Roman"/>
          <w:sz w:val="24"/>
        </w:rPr>
        <w:tab/>
        <w:t>Central Power and Light Company</w:t>
      </w:r>
      <w:r>
        <w:rPr>
          <w:rFonts w:ascii="Times New Roman" w:hAnsi="Times New Roman"/>
          <w:sz w:val="24"/>
        </w:rPr>
        <w:tab/>
      </w:r>
      <w:r>
        <w:rPr>
          <w:rFonts w:ascii="Times New Roman" w:hAnsi="Times New Roman"/>
          <w:sz w:val="24"/>
        </w:rPr>
        <w:tab/>
      </w:r>
      <w:r>
        <w:rPr>
          <w:rFonts w:ascii="Times New Roman" w:hAnsi="Times New Roman"/>
          <w:sz w:val="24"/>
        </w:rPr>
        <w:tab/>
        <w:t>Decomm. Exp.</w:t>
      </w:r>
    </w:p>
    <w:p w:rsidR="00176128" w:rsidRDefault="00176128" w:rsidP="00176128">
      <w:pPr>
        <w:pStyle w:val="PlainText"/>
        <w:rPr>
          <w:rFonts w:ascii="Times New Roman" w:hAnsi="Times New Roman"/>
          <w:sz w:val="24"/>
        </w:rPr>
      </w:pPr>
      <w:r>
        <w:rPr>
          <w:rFonts w:ascii="Times New Roman" w:hAnsi="Times New Roman"/>
          <w:sz w:val="24"/>
        </w:rPr>
        <w:t>12852</w:t>
      </w:r>
      <w:r>
        <w:rPr>
          <w:rFonts w:ascii="Times New Roman" w:hAnsi="Times New Roman"/>
          <w:sz w:val="24"/>
        </w:rPr>
        <w:tab/>
      </w:r>
      <w:r>
        <w:rPr>
          <w:rFonts w:ascii="Times New Roman" w:hAnsi="Times New Roman"/>
          <w:sz w:val="24"/>
        </w:rPr>
        <w:tab/>
      </w:r>
      <w:r>
        <w:rPr>
          <w:rFonts w:ascii="Times New Roman" w:hAnsi="Times New Roman"/>
          <w:sz w:val="24"/>
        </w:rPr>
        <w:tab/>
        <w:t>Gulf States Utilities Company</w:t>
      </w:r>
      <w:r>
        <w:rPr>
          <w:rFonts w:ascii="Times New Roman" w:hAnsi="Times New Roman"/>
          <w:sz w:val="24"/>
        </w:rPr>
        <w:tab/>
      </w:r>
      <w:r>
        <w:rPr>
          <w:rFonts w:ascii="Times New Roman" w:hAnsi="Times New Roman"/>
          <w:sz w:val="24"/>
        </w:rPr>
        <w:tab/>
      </w:r>
      <w:r>
        <w:rPr>
          <w:rFonts w:ascii="Times New Roman" w:hAnsi="Times New Roman"/>
          <w:sz w:val="24"/>
        </w:rPr>
        <w:tab/>
        <w:t>Decomm. Expense/</w:t>
      </w:r>
    </w:p>
    <w:p w:rsidR="00176128" w:rsidRDefault="00176128" w:rsidP="00176128">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Contra-AFUDC</w:t>
      </w:r>
    </w:p>
    <w:p w:rsidR="00176128" w:rsidRDefault="00176128" w:rsidP="00176128">
      <w:pPr>
        <w:pStyle w:val="PlainText"/>
        <w:rPr>
          <w:rFonts w:ascii="Times New Roman" w:hAnsi="Times New Roman"/>
          <w:sz w:val="24"/>
        </w:rPr>
      </w:pPr>
      <w:r>
        <w:rPr>
          <w:rFonts w:ascii="Times New Roman" w:hAnsi="Times New Roman"/>
          <w:sz w:val="24"/>
        </w:rPr>
        <w:t>13827</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Notice of Intent</w:t>
      </w:r>
    </w:p>
    <w:p w:rsidR="00176128" w:rsidRDefault="00176128" w:rsidP="00176128">
      <w:pPr>
        <w:pStyle w:val="PlainText"/>
        <w:ind w:left="2160" w:hanging="2160"/>
        <w:rPr>
          <w:rFonts w:ascii="Times New Roman" w:hAnsi="Times New Roman"/>
          <w:sz w:val="24"/>
        </w:rPr>
      </w:pPr>
      <w:r>
        <w:rPr>
          <w:rFonts w:ascii="Times New Roman" w:hAnsi="Times New Roman"/>
          <w:sz w:val="24"/>
        </w:rPr>
        <w:t>14965</w:t>
      </w:r>
      <w:r>
        <w:rPr>
          <w:rFonts w:ascii="Times New Roman" w:hAnsi="Times New Roman"/>
          <w:sz w:val="24"/>
        </w:rPr>
        <w:tab/>
        <w:t>Central Power and Light Company</w:t>
      </w:r>
      <w:r>
        <w:rPr>
          <w:rFonts w:ascii="Times New Roman" w:hAnsi="Times New Roman"/>
          <w:sz w:val="24"/>
        </w:rPr>
        <w:tab/>
      </w:r>
      <w:r>
        <w:rPr>
          <w:rFonts w:ascii="Times New Roman" w:hAnsi="Times New Roman"/>
          <w:sz w:val="24"/>
        </w:rPr>
        <w:tab/>
      </w:r>
      <w:r>
        <w:rPr>
          <w:rFonts w:ascii="Times New Roman" w:hAnsi="Times New Roman"/>
          <w:sz w:val="24"/>
        </w:rPr>
        <w:tab/>
        <w:t>ROR/</w:t>
      </w:r>
      <w:r w:rsidRPr="00994CFD">
        <w:rPr>
          <w:rFonts w:ascii="Times New Roman" w:hAnsi="Times New Roman"/>
          <w:sz w:val="24"/>
        </w:rPr>
        <w:t xml:space="preserve"> </w:t>
      </w:r>
      <w:r>
        <w:rPr>
          <w:rFonts w:ascii="Times New Roman" w:hAnsi="Times New Roman"/>
          <w:sz w:val="24"/>
        </w:rPr>
        <w:t>Decomm. Exp.</w:t>
      </w:r>
    </w:p>
    <w:p w:rsidR="00176128" w:rsidRDefault="00176128" w:rsidP="00176128">
      <w:pPr>
        <w:pStyle w:val="PlainText"/>
        <w:rPr>
          <w:rFonts w:ascii="Times New Roman" w:hAnsi="Times New Roman"/>
          <w:sz w:val="24"/>
        </w:rPr>
      </w:pPr>
      <w:r>
        <w:rPr>
          <w:rFonts w:ascii="Times New Roman" w:hAnsi="Times New Roman"/>
          <w:sz w:val="24"/>
        </w:rPr>
        <w:t>15638</w:t>
      </w:r>
      <w:r>
        <w:rPr>
          <w:rFonts w:ascii="Times New Roman" w:hAnsi="Times New Roman"/>
          <w:sz w:val="24"/>
        </w:rPr>
        <w:tab/>
      </w:r>
      <w:r>
        <w:rPr>
          <w:rFonts w:ascii="Times New Roman" w:hAnsi="Times New Roman"/>
          <w:sz w:val="24"/>
        </w:rPr>
        <w:tab/>
      </w:r>
      <w:r>
        <w:rPr>
          <w:rFonts w:ascii="Times New Roman" w:hAnsi="Times New Roman"/>
          <w:sz w:val="24"/>
        </w:rPr>
        <w:tab/>
        <w:t>Texas Utilities Electric Company</w:t>
      </w:r>
      <w:r>
        <w:rPr>
          <w:rFonts w:ascii="Times New Roman" w:hAnsi="Times New Roman"/>
          <w:sz w:val="24"/>
        </w:rPr>
        <w:tab/>
      </w:r>
      <w:r>
        <w:rPr>
          <w:rFonts w:ascii="Times New Roman" w:hAnsi="Times New Roman"/>
          <w:sz w:val="24"/>
        </w:rPr>
        <w:tab/>
      </w:r>
      <w:r>
        <w:rPr>
          <w:rFonts w:ascii="Times New Roman" w:hAnsi="Times New Roman"/>
          <w:sz w:val="24"/>
        </w:rPr>
        <w:tab/>
        <w:t>Transmission COS</w:t>
      </w:r>
    </w:p>
    <w:p w:rsidR="00176128" w:rsidRDefault="00176128" w:rsidP="00176128">
      <w:pPr>
        <w:pStyle w:val="PlainText"/>
        <w:rPr>
          <w:rFonts w:ascii="Times New Roman" w:hAnsi="Times New Roman"/>
          <w:sz w:val="24"/>
        </w:rPr>
      </w:pPr>
      <w:r>
        <w:rPr>
          <w:rFonts w:ascii="Times New Roman" w:hAnsi="Times New Roman"/>
          <w:sz w:val="24"/>
        </w:rPr>
        <w:t>16585</w:t>
      </w:r>
      <w:r>
        <w:rPr>
          <w:rFonts w:ascii="Times New Roman" w:hAnsi="Times New Roman"/>
          <w:sz w:val="24"/>
        </w:rPr>
        <w:tab/>
      </w:r>
      <w:r>
        <w:rPr>
          <w:rFonts w:ascii="Times New Roman" w:hAnsi="Times New Roman"/>
          <w:sz w:val="24"/>
        </w:rPr>
        <w:tab/>
      </w:r>
      <w:r>
        <w:rPr>
          <w:rFonts w:ascii="Times New Roman" w:hAnsi="Times New Roman"/>
          <w:sz w:val="24"/>
        </w:rPr>
        <w:tab/>
        <w:t>T&amp;H Communications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SPCOA</w:t>
      </w:r>
    </w:p>
    <w:p w:rsidR="00176128" w:rsidRDefault="00176128" w:rsidP="00176128">
      <w:pPr>
        <w:pStyle w:val="PlainText"/>
        <w:rPr>
          <w:rFonts w:ascii="Times New Roman" w:hAnsi="Times New Roman"/>
          <w:sz w:val="24"/>
        </w:rPr>
      </w:pPr>
      <w:r>
        <w:rPr>
          <w:rFonts w:ascii="Times New Roman" w:hAnsi="Times New Roman"/>
          <w:sz w:val="24"/>
        </w:rPr>
        <w:t>16705</w:t>
      </w:r>
      <w:r>
        <w:rPr>
          <w:rFonts w:ascii="Times New Roman" w:hAnsi="Times New Roman"/>
          <w:sz w:val="24"/>
        </w:rPr>
        <w:tab/>
      </w:r>
      <w:r>
        <w:rPr>
          <w:rFonts w:ascii="Times New Roman" w:hAnsi="Times New Roman"/>
          <w:sz w:val="24"/>
        </w:rPr>
        <w:tab/>
      </w:r>
      <w:r>
        <w:rPr>
          <w:rFonts w:ascii="Times New Roman" w:hAnsi="Times New Roman"/>
          <w:sz w:val="24"/>
        </w:rPr>
        <w:tab/>
        <w:t>Entergy Gulf States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of Return</w:t>
      </w:r>
    </w:p>
    <w:p w:rsidR="00176128" w:rsidRDefault="00176128" w:rsidP="00176128">
      <w:pPr>
        <w:pStyle w:val="PlainText"/>
        <w:ind w:right="-144"/>
        <w:rPr>
          <w:rFonts w:ascii="Times New Roman" w:hAnsi="Times New Roman"/>
          <w:sz w:val="24"/>
        </w:rPr>
      </w:pPr>
      <w:r>
        <w:rPr>
          <w:rFonts w:ascii="Times New Roman" w:hAnsi="Times New Roman"/>
          <w:sz w:val="24"/>
        </w:rPr>
        <w:t>16705</w:t>
      </w:r>
      <w:r>
        <w:rPr>
          <w:rFonts w:ascii="Times New Roman" w:hAnsi="Times New Roman"/>
          <w:sz w:val="24"/>
        </w:rPr>
        <w:tab/>
      </w:r>
      <w:r>
        <w:rPr>
          <w:rFonts w:ascii="Times New Roman" w:hAnsi="Times New Roman"/>
          <w:sz w:val="24"/>
        </w:rPr>
        <w:tab/>
      </w:r>
      <w:r>
        <w:rPr>
          <w:rFonts w:ascii="Times New Roman" w:hAnsi="Times New Roman"/>
          <w:sz w:val="24"/>
        </w:rPr>
        <w:tab/>
        <w:t>Entergy Gulf States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ROR on ECOM</w:t>
      </w:r>
    </w:p>
    <w:p w:rsidR="00176128" w:rsidRDefault="00176128" w:rsidP="00176128">
      <w:pPr>
        <w:pStyle w:val="PlainText"/>
        <w:rPr>
          <w:rFonts w:ascii="Times New Roman" w:hAnsi="Times New Roman"/>
          <w:sz w:val="24"/>
        </w:rPr>
      </w:pPr>
      <w:r>
        <w:rPr>
          <w:rFonts w:ascii="Times New Roman" w:hAnsi="Times New Roman"/>
          <w:sz w:val="24"/>
        </w:rPr>
        <w:t>18290</w:t>
      </w:r>
      <w:r>
        <w:rPr>
          <w:rFonts w:ascii="Times New Roman" w:hAnsi="Times New Roman"/>
          <w:sz w:val="24"/>
        </w:rPr>
        <w:tab/>
      </w:r>
      <w:r>
        <w:rPr>
          <w:rFonts w:ascii="Times New Roman" w:hAnsi="Times New Roman"/>
          <w:sz w:val="24"/>
        </w:rPr>
        <w:tab/>
      </w:r>
      <w:r>
        <w:rPr>
          <w:rFonts w:ascii="Times New Roman" w:hAnsi="Times New Roman"/>
          <w:sz w:val="24"/>
        </w:rPr>
        <w:tab/>
        <w:t>Entergy Gulf States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Int. on Tax Remand</w:t>
      </w:r>
    </w:p>
    <w:p w:rsidR="00176128" w:rsidRDefault="00176128" w:rsidP="00176128">
      <w:pPr>
        <w:pStyle w:val="PlainText"/>
        <w:rPr>
          <w:rFonts w:ascii="Times New Roman" w:hAnsi="Times New Roman"/>
          <w:sz w:val="24"/>
        </w:rPr>
      </w:pPr>
      <w:r>
        <w:rPr>
          <w:rFonts w:ascii="Times New Roman" w:hAnsi="Times New Roman"/>
          <w:sz w:val="24"/>
        </w:rPr>
        <w:t>18845</w:t>
      </w:r>
      <w:r>
        <w:rPr>
          <w:rFonts w:ascii="Times New Roman" w:hAnsi="Times New Roman"/>
          <w:sz w:val="24"/>
        </w:rPr>
        <w:tab/>
      </w:r>
      <w:r>
        <w:rPr>
          <w:rFonts w:ascii="Times New Roman" w:hAnsi="Times New Roman"/>
          <w:sz w:val="24"/>
        </w:rPr>
        <w:tab/>
      </w:r>
      <w:r>
        <w:rPr>
          <w:rFonts w:ascii="Times New Roman" w:hAnsi="Times New Roman"/>
          <w:sz w:val="24"/>
        </w:rPr>
        <w:tab/>
        <w:t>Central and South West Companies</w:t>
      </w:r>
      <w:r>
        <w:rPr>
          <w:rFonts w:ascii="Times New Roman" w:hAnsi="Times New Roman"/>
          <w:sz w:val="24"/>
        </w:rPr>
        <w:tab/>
      </w:r>
      <w:r>
        <w:rPr>
          <w:rFonts w:ascii="Times New Roman" w:hAnsi="Times New Roman"/>
          <w:sz w:val="24"/>
        </w:rPr>
        <w:tab/>
      </w:r>
      <w:r>
        <w:rPr>
          <w:rFonts w:ascii="Times New Roman" w:hAnsi="Times New Roman"/>
          <w:sz w:val="24"/>
        </w:rPr>
        <w:tab/>
        <w:t>Financial Condition</w:t>
      </w:r>
    </w:p>
    <w:p w:rsidR="00176128" w:rsidRDefault="00176128" w:rsidP="00176128">
      <w:pPr>
        <w:pStyle w:val="PlainText"/>
        <w:ind w:left="7200"/>
        <w:rPr>
          <w:rFonts w:ascii="Times New Roman" w:hAnsi="Times New Roman"/>
          <w:sz w:val="24"/>
        </w:rPr>
      </w:pPr>
      <w:r>
        <w:rPr>
          <w:rFonts w:ascii="Times New Roman" w:hAnsi="Times New Roman"/>
          <w:sz w:val="24"/>
        </w:rPr>
        <w:t>of Resource Providers</w:t>
      </w:r>
    </w:p>
    <w:p w:rsidR="00176128" w:rsidRDefault="00176128" w:rsidP="00176128">
      <w:pPr>
        <w:pStyle w:val="PlainText"/>
        <w:rPr>
          <w:rFonts w:ascii="Times New Roman" w:hAnsi="Times New Roman"/>
          <w:sz w:val="24"/>
        </w:rPr>
      </w:pPr>
      <w:r>
        <w:rPr>
          <w:rFonts w:ascii="Times New Roman" w:hAnsi="Times New Roman"/>
          <w:sz w:val="24"/>
        </w:rPr>
        <w:t>21527</w:t>
      </w:r>
      <w:r>
        <w:rPr>
          <w:rFonts w:ascii="Times New Roman" w:hAnsi="Times New Roman"/>
          <w:sz w:val="24"/>
        </w:rPr>
        <w:tab/>
      </w:r>
      <w:r>
        <w:rPr>
          <w:rFonts w:ascii="Times New Roman" w:hAnsi="Times New Roman"/>
          <w:sz w:val="24"/>
        </w:rPr>
        <w:tab/>
      </w:r>
      <w:r>
        <w:rPr>
          <w:rFonts w:ascii="Times New Roman" w:hAnsi="Times New Roman"/>
          <w:sz w:val="24"/>
        </w:rPr>
        <w:tab/>
        <w:t>TXU Electric 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Securitization</w:t>
      </w:r>
    </w:p>
    <w:p w:rsidR="00176128" w:rsidRDefault="00176128" w:rsidP="00176128">
      <w:pPr>
        <w:pStyle w:val="PlainText"/>
        <w:rPr>
          <w:rFonts w:ascii="Times New Roman" w:hAnsi="Times New Roman"/>
          <w:sz w:val="24"/>
        </w:rPr>
      </w:pPr>
      <w:r>
        <w:rPr>
          <w:rFonts w:ascii="Times New Roman" w:hAnsi="Times New Roman"/>
          <w:sz w:val="24"/>
        </w:rPr>
        <w:t>21528</w:t>
      </w:r>
      <w:r>
        <w:rPr>
          <w:rFonts w:ascii="Times New Roman" w:hAnsi="Times New Roman"/>
          <w:sz w:val="24"/>
        </w:rPr>
        <w:tab/>
      </w:r>
      <w:r>
        <w:rPr>
          <w:rFonts w:ascii="Times New Roman" w:hAnsi="Times New Roman"/>
          <w:sz w:val="24"/>
        </w:rPr>
        <w:tab/>
      </w:r>
      <w:r>
        <w:rPr>
          <w:rFonts w:ascii="Times New Roman" w:hAnsi="Times New Roman"/>
          <w:sz w:val="24"/>
        </w:rPr>
        <w:tab/>
        <w:t>Central Power and Light Company</w:t>
      </w:r>
      <w:r>
        <w:rPr>
          <w:rFonts w:ascii="Times New Roman" w:hAnsi="Times New Roman"/>
          <w:sz w:val="24"/>
        </w:rPr>
        <w:tab/>
      </w:r>
      <w:r>
        <w:rPr>
          <w:rFonts w:ascii="Times New Roman" w:hAnsi="Times New Roman"/>
          <w:sz w:val="24"/>
        </w:rPr>
        <w:tab/>
      </w:r>
      <w:r>
        <w:rPr>
          <w:rFonts w:ascii="Times New Roman" w:hAnsi="Times New Roman"/>
          <w:sz w:val="24"/>
        </w:rPr>
        <w:tab/>
        <w:t>Securitization</w:t>
      </w:r>
    </w:p>
    <w:p w:rsidR="00176128" w:rsidRDefault="00176128" w:rsidP="00176128">
      <w:pPr>
        <w:pStyle w:val="PlainText"/>
        <w:rPr>
          <w:rFonts w:ascii="Times New Roman" w:hAnsi="Times New Roman"/>
          <w:sz w:val="24"/>
        </w:rPr>
      </w:pPr>
      <w:r>
        <w:rPr>
          <w:rFonts w:ascii="Times New Roman" w:hAnsi="Times New Roman"/>
          <w:sz w:val="24"/>
        </w:rPr>
        <w:t>22344</w:t>
      </w:r>
      <w:r>
        <w:rPr>
          <w:rFonts w:ascii="Times New Roman" w:hAnsi="Times New Roman"/>
          <w:sz w:val="24"/>
        </w:rPr>
        <w:tab/>
      </w:r>
      <w:r>
        <w:rPr>
          <w:rFonts w:ascii="Times New Roman" w:hAnsi="Times New Roman"/>
          <w:sz w:val="24"/>
        </w:rPr>
        <w:tab/>
      </w:r>
      <w:r>
        <w:rPr>
          <w:rFonts w:ascii="Times New Roman" w:hAnsi="Times New Roman"/>
          <w:sz w:val="24"/>
        </w:rPr>
        <w:tab/>
        <w:t>Generic Unbundled Docket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Return on Equity</w:t>
      </w:r>
    </w:p>
    <w:p w:rsidR="00176128" w:rsidRDefault="00176128" w:rsidP="00176128">
      <w:pPr>
        <w:pStyle w:val="PlainText"/>
        <w:rPr>
          <w:rFonts w:ascii="Times New Roman" w:hAnsi="Times New Roman"/>
          <w:sz w:val="24"/>
        </w:rPr>
      </w:pPr>
      <w:r>
        <w:rPr>
          <w:rFonts w:ascii="Times New Roman" w:hAnsi="Times New Roman"/>
          <w:sz w:val="24"/>
        </w:rPr>
        <w:t>22355</w:t>
      </w:r>
      <w:r>
        <w:rPr>
          <w:rFonts w:ascii="Times New Roman" w:hAnsi="Times New Roman"/>
          <w:sz w:val="24"/>
        </w:rPr>
        <w:tab/>
      </w:r>
      <w:r>
        <w:rPr>
          <w:rFonts w:ascii="Times New Roman" w:hAnsi="Times New Roman"/>
          <w:sz w:val="24"/>
        </w:rPr>
        <w:tab/>
      </w:r>
      <w:r>
        <w:rPr>
          <w:rFonts w:ascii="Times New Roman" w:hAnsi="Times New Roman"/>
          <w:sz w:val="24"/>
        </w:rPr>
        <w:tab/>
        <w:t>Reliant Energy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ECOM Estimate</w:t>
      </w:r>
    </w:p>
    <w:p w:rsidR="00176128" w:rsidRDefault="00176128" w:rsidP="00176128">
      <w:pPr>
        <w:pStyle w:val="PlainText"/>
        <w:rPr>
          <w:rFonts w:ascii="Times New Roman" w:hAnsi="Times New Roman"/>
          <w:sz w:val="24"/>
        </w:rPr>
      </w:pPr>
      <w:r>
        <w:rPr>
          <w:rFonts w:ascii="Times New Roman" w:hAnsi="Times New Roman"/>
          <w:sz w:val="24"/>
        </w:rPr>
        <w:t>22352</w:t>
      </w:r>
      <w:r>
        <w:rPr>
          <w:rFonts w:ascii="Times New Roman" w:hAnsi="Times New Roman"/>
          <w:sz w:val="24"/>
        </w:rPr>
        <w:tab/>
      </w:r>
      <w:r>
        <w:rPr>
          <w:rFonts w:ascii="Times New Roman" w:hAnsi="Times New Roman"/>
          <w:sz w:val="24"/>
        </w:rPr>
        <w:tab/>
      </w:r>
      <w:r>
        <w:rPr>
          <w:rFonts w:ascii="Times New Roman" w:hAnsi="Times New Roman"/>
          <w:sz w:val="24"/>
        </w:rPr>
        <w:tab/>
        <w:t>Central Power and Light Company</w:t>
      </w:r>
      <w:r>
        <w:rPr>
          <w:rFonts w:ascii="Times New Roman" w:hAnsi="Times New Roman"/>
          <w:sz w:val="24"/>
        </w:rPr>
        <w:tab/>
      </w:r>
      <w:r>
        <w:rPr>
          <w:rFonts w:ascii="Times New Roman" w:hAnsi="Times New Roman"/>
          <w:sz w:val="24"/>
        </w:rPr>
        <w:tab/>
      </w:r>
      <w:r>
        <w:rPr>
          <w:rFonts w:ascii="Times New Roman" w:hAnsi="Times New Roman"/>
          <w:sz w:val="24"/>
        </w:rPr>
        <w:tab/>
        <w:t>Cost of Debt</w:t>
      </w:r>
    </w:p>
    <w:p w:rsidR="00176128" w:rsidRDefault="00176128" w:rsidP="00176128">
      <w:pPr>
        <w:pStyle w:val="PlainText"/>
        <w:ind w:left="2160" w:hanging="2160"/>
        <w:rPr>
          <w:rFonts w:ascii="Times New Roman" w:hAnsi="Times New Roman"/>
          <w:sz w:val="24"/>
        </w:rPr>
      </w:pPr>
      <w:r>
        <w:rPr>
          <w:rFonts w:ascii="Times New Roman" w:hAnsi="Times New Roman"/>
          <w:sz w:val="24"/>
        </w:rPr>
        <w:t>22354</w:t>
      </w:r>
      <w:r>
        <w:rPr>
          <w:rFonts w:ascii="Times New Roman" w:hAnsi="Times New Roman"/>
          <w:sz w:val="24"/>
        </w:rPr>
        <w:tab/>
        <w:t>West Texas Utilities Company</w:t>
      </w:r>
      <w:r>
        <w:rPr>
          <w:rFonts w:ascii="Times New Roman" w:hAnsi="Times New Roman"/>
          <w:sz w:val="24"/>
        </w:rPr>
        <w:tab/>
      </w:r>
      <w:r>
        <w:rPr>
          <w:rFonts w:ascii="Times New Roman" w:hAnsi="Times New Roman"/>
          <w:sz w:val="24"/>
        </w:rPr>
        <w:tab/>
      </w:r>
      <w:r>
        <w:rPr>
          <w:rFonts w:ascii="Times New Roman" w:hAnsi="Times New Roman"/>
          <w:sz w:val="24"/>
        </w:rPr>
        <w:tab/>
        <w:t xml:space="preserve">Refinancing Costs </w:t>
      </w:r>
    </w:p>
    <w:p w:rsidR="00176128" w:rsidRDefault="00176128" w:rsidP="00176128">
      <w:pPr>
        <w:pStyle w:val="PlainText"/>
        <w:rPr>
          <w:rFonts w:ascii="Times New Roman" w:hAnsi="Times New Roman"/>
          <w:sz w:val="24"/>
        </w:rPr>
      </w:pPr>
      <w:r>
        <w:rPr>
          <w:rFonts w:ascii="Times New Roman" w:hAnsi="Times New Roman"/>
          <w:sz w:val="24"/>
        </w:rPr>
        <w:t>22350</w:t>
      </w:r>
      <w:r>
        <w:rPr>
          <w:rFonts w:ascii="Times New Roman" w:hAnsi="Times New Roman"/>
          <w:sz w:val="24"/>
        </w:rPr>
        <w:tab/>
      </w:r>
      <w:r>
        <w:rPr>
          <w:rFonts w:ascii="Times New Roman" w:hAnsi="Times New Roman"/>
          <w:sz w:val="24"/>
        </w:rPr>
        <w:tab/>
      </w:r>
      <w:r>
        <w:rPr>
          <w:rFonts w:ascii="Times New Roman" w:hAnsi="Times New Roman"/>
          <w:sz w:val="24"/>
        </w:rPr>
        <w:tab/>
        <w:t>TXU Electric 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ECOM Estimate</w:t>
      </w:r>
    </w:p>
    <w:p w:rsidR="00176128" w:rsidRDefault="00176128" w:rsidP="00176128">
      <w:pPr>
        <w:pStyle w:val="PlainText"/>
        <w:rPr>
          <w:rFonts w:ascii="Times New Roman" w:hAnsi="Times New Roman"/>
          <w:sz w:val="24"/>
        </w:rPr>
      </w:pPr>
      <w:r>
        <w:rPr>
          <w:rFonts w:ascii="Times New Roman" w:hAnsi="Times New Roman"/>
          <w:sz w:val="24"/>
        </w:rPr>
        <w:t>26942</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Reg Asset Treatment</w:t>
      </w:r>
    </w:p>
    <w:p w:rsidR="00176128" w:rsidRDefault="00176128" w:rsidP="00176128">
      <w:pPr>
        <w:pStyle w:val="PlainText"/>
        <w:rPr>
          <w:rFonts w:ascii="Times New Roman" w:hAnsi="Times New Roman"/>
          <w:sz w:val="24"/>
        </w:rPr>
      </w:pPr>
      <w:r>
        <w:rPr>
          <w:rFonts w:ascii="Times New Roman" w:hAnsi="Times New Roman"/>
          <w:sz w:val="24"/>
        </w:rPr>
        <w:t>29206</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Stranded Costs &amp;</w:t>
      </w:r>
    </w:p>
    <w:p w:rsidR="00176128" w:rsidRDefault="00176128" w:rsidP="00176128">
      <w:pPr>
        <w:pStyle w:val="PlainText"/>
        <w:ind w:left="6480" w:firstLine="720"/>
        <w:rPr>
          <w:rFonts w:ascii="Times New Roman" w:hAnsi="Times New Roman"/>
          <w:sz w:val="24"/>
        </w:rPr>
      </w:pPr>
      <w:r>
        <w:rPr>
          <w:rFonts w:ascii="Times New Roman" w:hAnsi="Times New Roman"/>
          <w:sz w:val="24"/>
        </w:rPr>
        <w:t xml:space="preserve">  True-up Issues</w:t>
      </w:r>
    </w:p>
    <w:p w:rsidR="00176128" w:rsidRDefault="00176128" w:rsidP="00176128">
      <w:pPr>
        <w:pStyle w:val="PlainText"/>
        <w:ind w:right="-126"/>
        <w:rPr>
          <w:rFonts w:ascii="Times New Roman" w:hAnsi="Times New Roman"/>
          <w:sz w:val="24"/>
        </w:rPr>
      </w:pPr>
      <w:r>
        <w:rPr>
          <w:rFonts w:ascii="Times New Roman" w:hAnsi="Times New Roman"/>
          <w:sz w:val="24"/>
        </w:rPr>
        <w:t>29206</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 xml:space="preserve">Int on Stranded Costs   </w:t>
      </w:r>
    </w:p>
    <w:p w:rsidR="00176128" w:rsidRDefault="00176128" w:rsidP="00176128">
      <w:pPr>
        <w:pStyle w:val="PlainText"/>
        <w:rPr>
          <w:rFonts w:ascii="Times New Roman" w:hAnsi="Times New Roman"/>
          <w:sz w:val="24"/>
        </w:rPr>
      </w:pPr>
      <w:r>
        <w:rPr>
          <w:rFonts w:ascii="Times New Roman" w:hAnsi="Times New Roman"/>
          <w:sz w:val="24"/>
        </w:rPr>
        <w:t>29526</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 xml:space="preserve">Stranded Costs &amp; </w:t>
      </w:r>
    </w:p>
    <w:p w:rsidR="00176128" w:rsidRDefault="00176128" w:rsidP="00176128">
      <w:pPr>
        <w:pStyle w:val="PlainText"/>
        <w:ind w:left="7200"/>
        <w:rPr>
          <w:rFonts w:ascii="Times New Roman" w:hAnsi="Times New Roman"/>
          <w:sz w:val="24"/>
        </w:rPr>
      </w:pPr>
      <w:r>
        <w:rPr>
          <w:rFonts w:ascii="Times New Roman" w:hAnsi="Times New Roman"/>
          <w:sz w:val="24"/>
        </w:rPr>
        <w:t xml:space="preserve">   True-up Issues</w:t>
      </w:r>
    </w:p>
    <w:p w:rsidR="00176128" w:rsidRDefault="00176128" w:rsidP="00176128">
      <w:pPr>
        <w:pStyle w:val="PlainText"/>
        <w:rPr>
          <w:rFonts w:ascii="Times New Roman" w:hAnsi="Times New Roman"/>
          <w:sz w:val="24"/>
        </w:rPr>
      </w:pPr>
      <w:r>
        <w:rPr>
          <w:rFonts w:ascii="Times New Roman" w:hAnsi="Times New Roman"/>
          <w:sz w:val="24"/>
        </w:rPr>
        <w:t>29526</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Int. on Stranded Costs</w:t>
      </w:r>
    </w:p>
    <w:p w:rsidR="00176128" w:rsidRDefault="00176128" w:rsidP="00176128">
      <w:pPr>
        <w:pStyle w:val="PlainText"/>
        <w:rPr>
          <w:rFonts w:ascii="Times New Roman" w:hAnsi="Times New Roman"/>
          <w:sz w:val="24"/>
        </w:rPr>
      </w:pPr>
      <w:r>
        <w:rPr>
          <w:rFonts w:ascii="Times New Roman" w:hAnsi="Times New Roman"/>
          <w:sz w:val="24"/>
        </w:rPr>
        <w:t>30485</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Financing Order</w:t>
      </w:r>
    </w:p>
    <w:p w:rsidR="00176128" w:rsidRDefault="00176128" w:rsidP="00176128">
      <w:pPr>
        <w:pStyle w:val="PlainText"/>
        <w:rPr>
          <w:rFonts w:ascii="Times New Roman" w:hAnsi="Times New Roman"/>
          <w:sz w:val="24"/>
        </w:rPr>
      </w:pPr>
    </w:p>
    <w:p w:rsidR="00176128" w:rsidRDefault="00176128" w:rsidP="00176128">
      <w:pPr>
        <w:pStyle w:val="PlainText"/>
        <w:rPr>
          <w:rFonts w:ascii="Times New Roman" w:hAnsi="Times New Roman"/>
          <w:sz w:val="24"/>
        </w:rPr>
      </w:pPr>
      <w:r>
        <w:rPr>
          <w:rFonts w:ascii="Times New Roman" w:hAnsi="Times New Roman"/>
          <w:sz w:val="24"/>
        </w:rPr>
        <w:lastRenderedPageBreak/>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Attachment DT-1</w:t>
      </w:r>
    </w:p>
    <w:p w:rsidR="00176128" w:rsidRDefault="00176128" w:rsidP="00176128">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Page 2 of </w:t>
      </w:r>
      <w:r w:rsidR="003F034A">
        <w:rPr>
          <w:rFonts w:ascii="Times New Roman" w:hAnsi="Times New Roman"/>
          <w:sz w:val="24"/>
        </w:rPr>
        <w:t>3</w:t>
      </w:r>
    </w:p>
    <w:p w:rsidR="00176128" w:rsidRDefault="00176128" w:rsidP="00176128">
      <w:pPr>
        <w:pStyle w:val="PlainText"/>
        <w:rPr>
          <w:rFonts w:ascii="Times New Roman" w:hAnsi="Times New Roman"/>
          <w:sz w:val="24"/>
        </w:rPr>
      </w:pPr>
    </w:p>
    <w:p w:rsidR="00176128" w:rsidRDefault="00176128" w:rsidP="00176128">
      <w:pPr>
        <w:pStyle w:val="PlainText"/>
        <w:tabs>
          <w:tab w:val="left" w:pos="7020"/>
        </w:tabs>
        <w:jc w:val="center"/>
        <w:outlineLvl w:val="0"/>
        <w:rPr>
          <w:rFonts w:ascii="Times New Roman" w:hAnsi="Times New Roman"/>
          <w:b/>
          <w:sz w:val="24"/>
        </w:rPr>
      </w:pPr>
      <w:r>
        <w:rPr>
          <w:rFonts w:ascii="Times New Roman" w:hAnsi="Times New Roman"/>
          <w:b/>
          <w:sz w:val="24"/>
        </w:rPr>
        <w:t xml:space="preserve">LIST OF TESTIMONIES </w:t>
      </w:r>
    </w:p>
    <w:p w:rsidR="00176128" w:rsidRDefault="00176128" w:rsidP="00176128">
      <w:pPr>
        <w:suppressLineNumbers/>
        <w:ind w:right="360"/>
        <w:jc w:val="center"/>
        <w:rPr>
          <w:b/>
          <w:sz w:val="24"/>
        </w:rPr>
      </w:pPr>
      <w:r>
        <w:rPr>
          <w:b/>
          <w:sz w:val="24"/>
        </w:rPr>
        <w:t xml:space="preserve">     BY DARRYL TIETJEN (cont.)</w:t>
      </w:r>
    </w:p>
    <w:p w:rsidR="00176128" w:rsidRDefault="00176128" w:rsidP="00176128">
      <w:pPr>
        <w:suppressLineNumbers/>
        <w:ind w:right="360"/>
        <w:jc w:val="center"/>
        <w:rPr>
          <w:b/>
          <w:sz w:val="24"/>
        </w:rPr>
      </w:pPr>
    </w:p>
    <w:p w:rsidR="00176128" w:rsidRDefault="00176128" w:rsidP="00176128">
      <w:pPr>
        <w:pStyle w:val="PlainText"/>
        <w:ind w:left="2160" w:hanging="2160"/>
        <w:rPr>
          <w:rFonts w:ascii="Times New Roman" w:hAnsi="Times New Roman"/>
          <w:sz w:val="24"/>
        </w:rPr>
      </w:pPr>
      <w:r>
        <w:rPr>
          <w:rFonts w:ascii="Times New Roman" w:hAnsi="Times New Roman"/>
          <w:sz w:val="24"/>
        </w:rPr>
        <w:t>30706</w:t>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Comp. Transition</w:t>
      </w:r>
    </w:p>
    <w:p w:rsidR="00176128" w:rsidRDefault="00176128" w:rsidP="00176128">
      <w:pPr>
        <w:pStyle w:val="PlainText"/>
        <w:ind w:left="6480" w:firstLine="720"/>
        <w:rPr>
          <w:rFonts w:ascii="Times New Roman" w:hAnsi="Times New Roman"/>
          <w:sz w:val="24"/>
        </w:rPr>
      </w:pPr>
      <w:r>
        <w:rPr>
          <w:rFonts w:ascii="Times New Roman" w:hAnsi="Times New Roman"/>
          <w:sz w:val="24"/>
        </w:rPr>
        <w:t xml:space="preserve">    Charge</w:t>
      </w:r>
    </w:p>
    <w:p w:rsidR="00176128" w:rsidRDefault="00176128" w:rsidP="00176128">
      <w:pPr>
        <w:pStyle w:val="PlainText"/>
        <w:rPr>
          <w:rFonts w:ascii="Times New Roman" w:hAnsi="Times New Roman"/>
          <w:sz w:val="24"/>
        </w:rPr>
      </w:pPr>
      <w:r>
        <w:rPr>
          <w:rFonts w:ascii="Times New Roman" w:hAnsi="Times New Roman"/>
          <w:sz w:val="24"/>
        </w:rPr>
        <w:t>31056</w:t>
      </w:r>
      <w:r>
        <w:rPr>
          <w:rFonts w:ascii="Times New Roman" w:hAnsi="Times New Roman"/>
          <w:sz w:val="24"/>
        </w:rPr>
        <w:tab/>
      </w:r>
      <w:r>
        <w:rPr>
          <w:rFonts w:ascii="Times New Roman" w:hAnsi="Times New Roman"/>
          <w:sz w:val="24"/>
        </w:rPr>
        <w:tab/>
      </w:r>
      <w:r>
        <w:rPr>
          <w:rFonts w:ascii="Times New Roman" w:hAnsi="Times New Roman"/>
          <w:sz w:val="24"/>
        </w:rPr>
        <w:tab/>
        <w:t>AEP Texas Central Company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Stranded Costs &amp; </w:t>
      </w:r>
    </w:p>
    <w:p w:rsidR="00176128" w:rsidRDefault="00176128" w:rsidP="00176128">
      <w:pPr>
        <w:pStyle w:val="PlainText"/>
        <w:ind w:left="6480" w:firstLine="720"/>
        <w:rPr>
          <w:rFonts w:ascii="Times New Roman" w:hAnsi="Times New Roman"/>
          <w:sz w:val="24"/>
        </w:rPr>
      </w:pPr>
      <w:r>
        <w:rPr>
          <w:rFonts w:ascii="Times New Roman" w:hAnsi="Times New Roman"/>
          <w:sz w:val="24"/>
        </w:rPr>
        <w:t xml:space="preserve">   True-up Issues</w:t>
      </w:r>
    </w:p>
    <w:p w:rsidR="00176128" w:rsidRDefault="00176128" w:rsidP="00176128">
      <w:pPr>
        <w:pStyle w:val="PlainText"/>
        <w:outlineLvl w:val="0"/>
        <w:rPr>
          <w:rFonts w:ascii="Times New Roman" w:hAnsi="Times New Roman"/>
          <w:sz w:val="24"/>
        </w:rPr>
      </w:pPr>
      <w:r>
        <w:rPr>
          <w:rFonts w:ascii="Times New Roman" w:hAnsi="Times New Roman"/>
          <w:sz w:val="24"/>
        </w:rPr>
        <w:t>31994</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Comp. Transition</w:t>
      </w:r>
    </w:p>
    <w:p w:rsidR="00176128" w:rsidRDefault="00176128" w:rsidP="00176128">
      <w:pPr>
        <w:pStyle w:val="PlainText"/>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Charge</w:t>
      </w:r>
    </w:p>
    <w:p w:rsidR="00176128" w:rsidRPr="00B92BE6" w:rsidRDefault="00176128" w:rsidP="00176128">
      <w:pPr>
        <w:pStyle w:val="PlainText"/>
        <w:outlineLvl w:val="0"/>
        <w:rPr>
          <w:rFonts w:ascii="Times New Roman" w:hAnsi="Times New Roman"/>
          <w:sz w:val="24"/>
        </w:rPr>
      </w:pPr>
      <w:r>
        <w:rPr>
          <w:rFonts w:ascii="Times New Roman" w:hAnsi="Times New Roman"/>
          <w:sz w:val="24"/>
        </w:rPr>
        <w:t>32475</w:t>
      </w:r>
      <w:r>
        <w:rPr>
          <w:rFonts w:ascii="Times New Roman" w:hAnsi="Times New Roman"/>
          <w:sz w:val="24"/>
        </w:rPr>
        <w:tab/>
      </w:r>
      <w:r>
        <w:rPr>
          <w:rFonts w:ascii="Times New Roman" w:hAnsi="Times New Roman"/>
          <w:sz w:val="24"/>
        </w:rPr>
        <w:tab/>
      </w:r>
      <w:r>
        <w:rPr>
          <w:rFonts w:ascii="Times New Roman" w:hAnsi="Times New Roman"/>
          <w:sz w:val="24"/>
        </w:rPr>
        <w:tab/>
        <w:t>AEP Texas Central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Financing Order</w:t>
      </w:r>
    </w:p>
    <w:p w:rsidR="00176128" w:rsidRDefault="00176128" w:rsidP="00176128">
      <w:pPr>
        <w:pStyle w:val="PlainText"/>
        <w:outlineLvl w:val="0"/>
        <w:rPr>
          <w:rFonts w:ascii="Times New Roman" w:hAnsi="Times New Roman"/>
          <w:sz w:val="24"/>
        </w:rPr>
      </w:pPr>
      <w:r>
        <w:rPr>
          <w:rFonts w:ascii="Times New Roman" w:hAnsi="Times New Roman"/>
          <w:sz w:val="24"/>
        </w:rPr>
        <w:t>32907</w:t>
      </w:r>
      <w:r>
        <w:rPr>
          <w:rFonts w:ascii="Times New Roman" w:hAnsi="Times New Roman"/>
          <w:sz w:val="24"/>
        </w:rPr>
        <w:tab/>
      </w:r>
      <w:r>
        <w:rPr>
          <w:rFonts w:ascii="Times New Roman" w:hAnsi="Times New Roman"/>
          <w:sz w:val="24"/>
        </w:rPr>
        <w:tab/>
      </w:r>
      <w:r>
        <w:rPr>
          <w:rFonts w:ascii="Times New Roman" w:hAnsi="Times New Roman"/>
          <w:sz w:val="24"/>
        </w:rPr>
        <w:tab/>
        <w:t>Entergy Gulf States, Inc.</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Interest on Storm</w:t>
      </w:r>
    </w:p>
    <w:p w:rsidR="00176128" w:rsidRDefault="00176128" w:rsidP="00176128">
      <w:pPr>
        <w:pStyle w:val="PlainText"/>
        <w:ind w:left="6480" w:firstLine="720"/>
        <w:outlineLvl w:val="0"/>
        <w:rPr>
          <w:rFonts w:ascii="Times New Roman" w:hAnsi="Times New Roman"/>
          <w:sz w:val="24"/>
        </w:rPr>
      </w:pPr>
      <w:r>
        <w:rPr>
          <w:rFonts w:ascii="Times New Roman" w:hAnsi="Times New Roman"/>
          <w:sz w:val="24"/>
        </w:rPr>
        <w:t xml:space="preserve">    Costs</w:t>
      </w:r>
    </w:p>
    <w:p w:rsidR="00176128" w:rsidRDefault="00176128" w:rsidP="00176128">
      <w:pPr>
        <w:pStyle w:val="PlainText"/>
        <w:outlineLvl w:val="0"/>
        <w:rPr>
          <w:rFonts w:ascii="Times New Roman" w:hAnsi="Times New Roman"/>
          <w:sz w:val="24"/>
        </w:rPr>
      </w:pPr>
      <w:r>
        <w:rPr>
          <w:rFonts w:ascii="Times New Roman" w:hAnsi="Times New Roman"/>
          <w:sz w:val="24"/>
        </w:rPr>
        <w:t>33106</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Interest Rate on CTC</w:t>
      </w:r>
    </w:p>
    <w:p w:rsidR="00176128" w:rsidRDefault="00176128" w:rsidP="00176128">
      <w:pPr>
        <w:pStyle w:val="PlainText"/>
        <w:outlineLvl w:val="0"/>
        <w:rPr>
          <w:rFonts w:ascii="Times New Roman" w:hAnsi="Times New Roman"/>
          <w:sz w:val="24"/>
        </w:rPr>
      </w:pPr>
      <w:r>
        <w:rPr>
          <w:rFonts w:ascii="Times New Roman" w:hAnsi="Times New Roman"/>
          <w:sz w:val="24"/>
        </w:rPr>
        <w:t>33586</w:t>
      </w:r>
      <w:r>
        <w:rPr>
          <w:rFonts w:ascii="Times New Roman" w:hAnsi="Times New Roman"/>
          <w:sz w:val="24"/>
        </w:rPr>
        <w:tab/>
      </w:r>
      <w:r>
        <w:rPr>
          <w:rFonts w:ascii="Times New Roman" w:hAnsi="Times New Roman"/>
          <w:sz w:val="24"/>
        </w:rPr>
        <w:tab/>
      </w:r>
      <w:r>
        <w:rPr>
          <w:rFonts w:ascii="Times New Roman" w:hAnsi="Times New Roman"/>
          <w:sz w:val="24"/>
        </w:rPr>
        <w:tab/>
        <w:t>Entergy Gulf States, Inc.</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Financing Order</w:t>
      </w:r>
    </w:p>
    <w:p w:rsidR="00176128" w:rsidRDefault="00176128" w:rsidP="00176128">
      <w:pPr>
        <w:pStyle w:val="PlainText"/>
        <w:outlineLvl w:val="0"/>
        <w:rPr>
          <w:rFonts w:ascii="Times New Roman" w:hAnsi="Times New Roman"/>
          <w:sz w:val="24"/>
        </w:rPr>
      </w:pPr>
      <w:r>
        <w:rPr>
          <w:rFonts w:ascii="Times New Roman" w:hAnsi="Times New Roman"/>
          <w:sz w:val="24"/>
        </w:rPr>
        <w:t>32795</w:t>
      </w:r>
      <w:r>
        <w:rPr>
          <w:rFonts w:ascii="Times New Roman" w:hAnsi="Times New Roman"/>
          <w:sz w:val="24"/>
        </w:rPr>
        <w:tab/>
      </w:r>
      <w:r>
        <w:rPr>
          <w:rFonts w:ascii="Times New Roman" w:hAnsi="Times New Roman"/>
          <w:sz w:val="24"/>
        </w:rPr>
        <w:tab/>
      </w:r>
      <w:r>
        <w:rPr>
          <w:rFonts w:ascii="Times New Roman" w:hAnsi="Times New Roman"/>
          <w:sz w:val="24"/>
        </w:rPr>
        <w:tab/>
        <w:t>$5 Billion Stranded-Cost Threshold</w:t>
      </w:r>
      <w:r>
        <w:rPr>
          <w:rFonts w:ascii="Times New Roman" w:hAnsi="Times New Roman"/>
          <w:sz w:val="24"/>
        </w:rPr>
        <w:tab/>
      </w:r>
      <w:r>
        <w:rPr>
          <w:rFonts w:ascii="Times New Roman" w:hAnsi="Times New Roman"/>
          <w:sz w:val="24"/>
        </w:rPr>
        <w:tab/>
      </w:r>
      <w:r>
        <w:rPr>
          <w:rFonts w:ascii="Times New Roman" w:hAnsi="Times New Roman"/>
          <w:sz w:val="24"/>
        </w:rPr>
        <w:tab/>
        <w:t>Interest Amount</w:t>
      </w:r>
    </w:p>
    <w:p w:rsidR="00176128" w:rsidRDefault="00176128" w:rsidP="00176128">
      <w:pPr>
        <w:pStyle w:val="PlainText"/>
        <w:outlineLvl w:val="0"/>
        <w:rPr>
          <w:rFonts w:ascii="Times New Roman" w:hAnsi="Times New Roman"/>
          <w:sz w:val="24"/>
        </w:rPr>
      </w:pPr>
      <w:r>
        <w:rPr>
          <w:rFonts w:ascii="Times New Roman" w:hAnsi="Times New Roman"/>
          <w:sz w:val="24"/>
        </w:rPr>
        <w:t>34448</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 xml:space="preserve">Financing Order </w:t>
      </w:r>
    </w:p>
    <w:p w:rsidR="00176128" w:rsidRDefault="00176128" w:rsidP="00176128">
      <w:pPr>
        <w:pStyle w:val="PlainText"/>
        <w:outlineLvl w:val="0"/>
        <w:rPr>
          <w:rFonts w:ascii="Times New Roman" w:hAnsi="Times New Roman"/>
          <w:sz w:val="24"/>
        </w:rPr>
      </w:pPr>
      <w:r>
        <w:rPr>
          <w:rFonts w:ascii="Times New Roman" w:hAnsi="Times New Roman"/>
          <w:sz w:val="24"/>
        </w:rPr>
        <w:t>34077</w:t>
      </w:r>
      <w:r>
        <w:rPr>
          <w:rFonts w:ascii="Times New Roman" w:hAnsi="Times New Roman"/>
          <w:sz w:val="24"/>
        </w:rPr>
        <w:tab/>
      </w:r>
      <w:r>
        <w:rPr>
          <w:rFonts w:ascii="Times New Roman" w:hAnsi="Times New Roman"/>
          <w:sz w:val="24"/>
        </w:rPr>
        <w:tab/>
      </w:r>
      <w:r>
        <w:rPr>
          <w:rFonts w:ascii="Times New Roman" w:hAnsi="Times New Roman"/>
          <w:sz w:val="24"/>
        </w:rPr>
        <w:tab/>
        <w:t>Oncor Electric Delivery and Texas Energy</w:t>
      </w:r>
      <w:r>
        <w:rPr>
          <w:rFonts w:ascii="Times New Roman" w:hAnsi="Times New Roman"/>
          <w:sz w:val="24"/>
        </w:rPr>
        <w:tab/>
      </w:r>
      <w:r>
        <w:rPr>
          <w:rFonts w:ascii="Times New Roman" w:hAnsi="Times New Roman"/>
          <w:sz w:val="24"/>
        </w:rPr>
        <w:tab/>
        <w:t>Support of Stipulation</w:t>
      </w:r>
    </w:p>
    <w:p w:rsidR="00176128" w:rsidRDefault="00176128" w:rsidP="00176128">
      <w:pPr>
        <w:pStyle w:val="PlainText"/>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Future Holdings Limited Partnership</w:t>
      </w:r>
      <w:r>
        <w:rPr>
          <w:rFonts w:ascii="Times New Roman" w:hAnsi="Times New Roman"/>
          <w:sz w:val="24"/>
        </w:rPr>
        <w:tab/>
      </w:r>
    </w:p>
    <w:p w:rsidR="00176128" w:rsidRDefault="00176128" w:rsidP="00176128">
      <w:pPr>
        <w:pStyle w:val="PlainText"/>
        <w:outlineLvl w:val="0"/>
        <w:rPr>
          <w:rFonts w:ascii="Times New Roman" w:hAnsi="Times New Roman"/>
          <w:sz w:val="24"/>
        </w:rPr>
      </w:pPr>
      <w:r>
        <w:rPr>
          <w:rFonts w:ascii="Times New Roman" w:hAnsi="Times New Roman"/>
          <w:sz w:val="24"/>
        </w:rPr>
        <w:t>35038</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r>
      <w:r w:rsidR="00B131AB">
        <w:rPr>
          <w:rFonts w:ascii="Times New Roman" w:hAnsi="Times New Roman"/>
          <w:sz w:val="24"/>
        </w:rPr>
        <w:t>Tariff</w:t>
      </w:r>
      <w:r>
        <w:rPr>
          <w:rFonts w:ascii="Times New Roman" w:hAnsi="Times New Roman"/>
          <w:sz w:val="24"/>
        </w:rPr>
        <w:t xml:space="preserve"> Filing</w:t>
      </w:r>
    </w:p>
    <w:p w:rsidR="00176128" w:rsidRDefault="00176128" w:rsidP="00176128">
      <w:pPr>
        <w:pStyle w:val="PlainText"/>
        <w:outlineLvl w:val="0"/>
        <w:rPr>
          <w:rFonts w:ascii="Times New Roman" w:hAnsi="Times New Roman"/>
          <w:sz w:val="24"/>
        </w:rPr>
      </w:pPr>
      <w:r>
        <w:rPr>
          <w:rFonts w:ascii="Times New Roman" w:hAnsi="Times New Roman"/>
          <w:sz w:val="24"/>
        </w:rPr>
        <w:t>33891</w:t>
      </w:r>
      <w:r>
        <w:rPr>
          <w:rFonts w:ascii="Times New Roman" w:hAnsi="Times New Roman"/>
          <w:sz w:val="24"/>
        </w:rPr>
        <w:tab/>
      </w:r>
      <w:r>
        <w:rPr>
          <w:rFonts w:ascii="Times New Roman" w:hAnsi="Times New Roman"/>
          <w:sz w:val="24"/>
        </w:rPr>
        <w:tab/>
      </w:r>
      <w:r>
        <w:rPr>
          <w:rFonts w:ascii="Times New Roman" w:hAnsi="Times New Roman"/>
          <w:sz w:val="24"/>
        </w:rPr>
        <w:tab/>
        <w:t>Southwestern Electric Power Co.</w:t>
      </w:r>
      <w:r>
        <w:rPr>
          <w:rFonts w:ascii="Times New Roman" w:hAnsi="Times New Roman"/>
          <w:sz w:val="24"/>
        </w:rPr>
        <w:tab/>
      </w:r>
      <w:r>
        <w:rPr>
          <w:rFonts w:ascii="Times New Roman" w:hAnsi="Times New Roman"/>
          <w:sz w:val="24"/>
        </w:rPr>
        <w:tab/>
      </w:r>
      <w:r>
        <w:rPr>
          <w:rFonts w:ascii="Times New Roman" w:hAnsi="Times New Roman"/>
          <w:sz w:val="24"/>
        </w:rPr>
        <w:tab/>
        <w:t>CCN Application</w:t>
      </w:r>
    </w:p>
    <w:p w:rsidR="00176128" w:rsidRDefault="00176128" w:rsidP="00176128">
      <w:pPr>
        <w:pStyle w:val="PlainText"/>
        <w:outlineLvl w:val="0"/>
        <w:rPr>
          <w:rFonts w:ascii="Times New Roman" w:hAnsi="Times New Roman"/>
          <w:sz w:val="24"/>
        </w:rPr>
      </w:pPr>
      <w:r>
        <w:rPr>
          <w:rFonts w:ascii="Times New Roman" w:hAnsi="Times New Roman"/>
          <w:sz w:val="24"/>
        </w:rPr>
        <w:t>36918</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Restoration Costs</w:t>
      </w:r>
    </w:p>
    <w:p w:rsidR="00176128" w:rsidRDefault="00176128" w:rsidP="00176128">
      <w:pPr>
        <w:pStyle w:val="PlainText"/>
        <w:outlineLvl w:val="0"/>
        <w:rPr>
          <w:rFonts w:ascii="Times New Roman" w:hAnsi="Times New Roman"/>
          <w:sz w:val="24"/>
        </w:rPr>
      </w:pPr>
      <w:r>
        <w:rPr>
          <w:rFonts w:ascii="Times New Roman" w:hAnsi="Times New Roman"/>
          <w:sz w:val="24"/>
        </w:rPr>
        <w:t>36931</w:t>
      </w:r>
      <w:r>
        <w:rPr>
          <w:rFonts w:ascii="Times New Roman" w:hAnsi="Times New Roman"/>
          <w:sz w:val="24"/>
        </w:rPr>
        <w:tab/>
      </w:r>
      <w:r>
        <w:rPr>
          <w:rFonts w:ascii="Times New Roman" w:hAnsi="Times New Roman"/>
          <w:sz w:val="24"/>
        </w:rPr>
        <w:tab/>
      </w:r>
      <w:r>
        <w:rPr>
          <w:rFonts w:ascii="Times New Roman" w:hAnsi="Times New Roman"/>
          <w:sz w:val="24"/>
        </w:rPr>
        <w:tab/>
        <w:t>Entergy Texas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Restoration Costs</w:t>
      </w:r>
    </w:p>
    <w:p w:rsidR="00B131AB" w:rsidRDefault="00176128" w:rsidP="00176128">
      <w:pPr>
        <w:pStyle w:val="PlainText"/>
        <w:outlineLvl w:val="0"/>
        <w:rPr>
          <w:rFonts w:ascii="Times New Roman" w:hAnsi="Times New Roman"/>
          <w:sz w:val="24"/>
        </w:rPr>
      </w:pPr>
      <w:r>
        <w:rPr>
          <w:rFonts w:ascii="Times New Roman" w:hAnsi="Times New Roman"/>
          <w:sz w:val="24"/>
        </w:rPr>
        <w:t>39504</w:t>
      </w:r>
      <w:r>
        <w:rPr>
          <w:rFonts w:ascii="Times New Roman" w:hAnsi="Times New Roman"/>
          <w:sz w:val="24"/>
        </w:rPr>
        <w:tab/>
      </w:r>
      <w:r>
        <w:rPr>
          <w:rFonts w:ascii="Times New Roman" w:hAnsi="Times New Roman"/>
          <w:sz w:val="24"/>
        </w:rPr>
        <w:tab/>
      </w:r>
      <w:r>
        <w:rPr>
          <w:rFonts w:ascii="Times New Roman" w:hAnsi="Times New Roman"/>
          <w:sz w:val="24"/>
        </w:rPr>
        <w:tab/>
        <w:t>CenterPoint Energy Houston Electric</w:t>
      </w:r>
      <w:r>
        <w:rPr>
          <w:rFonts w:ascii="Times New Roman" w:hAnsi="Times New Roman"/>
          <w:sz w:val="24"/>
        </w:rPr>
        <w:tab/>
      </w:r>
      <w:r>
        <w:rPr>
          <w:rFonts w:ascii="Times New Roman" w:hAnsi="Times New Roman"/>
          <w:sz w:val="24"/>
        </w:rPr>
        <w:tab/>
      </w:r>
      <w:r>
        <w:rPr>
          <w:rFonts w:ascii="Times New Roman" w:hAnsi="Times New Roman"/>
          <w:sz w:val="24"/>
        </w:rPr>
        <w:tab/>
        <w:t>Remanded True-up</w:t>
      </w:r>
    </w:p>
    <w:p w:rsidR="00176128" w:rsidRDefault="00B131AB" w:rsidP="00B131AB">
      <w:pPr>
        <w:pStyle w:val="PlainText"/>
        <w:ind w:left="6480" w:firstLine="720"/>
        <w:outlineLvl w:val="0"/>
        <w:rPr>
          <w:rFonts w:ascii="Times New Roman" w:hAnsi="Times New Roman"/>
          <w:sz w:val="24"/>
        </w:rPr>
      </w:pPr>
      <w:r>
        <w:rPr>
          <w:rFonts w:ascii="Times New Roman" w:hAnsi="Times New Roman"/>
          <w:sz w:val="24"/>
        </w:rPr>
        <w:t xml:space="preserve">    </w:t>
      </w:r>
      <w:r w:rsidR="00176128">
        <w:rPr>
          <w:rFonts w:ascii="Times New Roman" w:hAnsi="Times New Roman"/>
          <w:sz w:val="24"/>
        </w:rPr>
        <w:t>Costs</w:t>
      </w:r>
    </w:p>
    <w:p w:rsidR="00176128" w:rsidRDefault="00176128" w:rsidP="00B131AB">
      <w:pPr>
        <w:pStyle w:val="PlainText"/>
        <w:ind w:left="2160" w:hanging="2160"/>
        <w:outlineLvl w:val="0"/>
        <w:rPr>
          <w:rFonts w:ascii="Times New Roman" w:hAnsi="Times New Roman"/>
          <w:sz w:val="24"/>
        </w:rPr>
      </w:pPr>
      <w:r>
        <w:rPr>
          <w:rFonts w:ascii="Times New Roman" w:hAnsi="Times New Roman"/>
          <w:sz w:val="24"/>
        </w:rPr>
        <w:t>39722</w:t>
      </w:r>
      <w:r>
        <w:rPr>
          <w:rFonts w:ascii="Times New Roman" w:hAnsi="Times New Roman"/>
          <w:sz w:val="24"/>
        </w:rPr>
        <w:tab/>
      </w:r>
      <w:r w:rsidR="00B131AB">
        <w:rPr>
          <w:rFonts w:ascii="Times New Roman" w:hAnsi="Times New Roman"/>
          <w:sz w:val="24"/>
        </w:rPr>
        <w:t>A</w:t>
      </w:r>
      <w:r>
        <w:rPr>
          <w:rFonts w:ascii="Times New Roman" w:hAnsi="Times New Roman"/>
          <w:sz w:val="24"/>
        </w:rPr>
        <w:t>EP Texas Central Company</w:t>
      </w:r>
      <w:r>
        <w:rPr>
          <w:rFonts w:ascii="Times New Roman" w:hAnsi="Times New Roman"/>
          <w:sz w:val="24"/>
        </w:rPr>
        <w:tab/>
      </w:r>
      <w:r>
        <w:rPr>
          <w:rFonts w:ascii="Times New Roman" w:hAnsi="Times New Roman"/>
          <w:sz w:val="24"/>
        </w:rPr>
        <w:tab/>
      </w:r>
      <w:r>
        <w:rPr>
          <w:rFonts w:ascii="Times New Roman" w:hAnsi="Times New Roman"/>
          <w:sz w:val="24"/>
        </w:rPr>
        <w:tab/>
      </w:r>
      <w:r w:rsidR="00B131AB">
        <w:rPr>
          <w:rFonts w:ascii="Times New Roman" w:hAnsi="Times New Roman"/>
          <w:sz w:val="24"/>
        </w:rPr>
        <w:tab/>
        <w:t>Remanded True-up</w:t>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r>
      <w:r w:rsidR="00B131AB">
        <w:rPr>
          <w:rFonts w:ascii="Times New Roman" w:hAnsi="Times New Roman"/>
          <w:sz w:val="24"/>
        </w:rPr>
        <w:tab/>
        <w:t xml:space="preserve">    C</w:t>
      </w:r>
      <w:r>
        <w:rPr>
          <w:rFonts w:ascii="Times New Roman" w:hAnsi="Times New Roman"/>
          <w:sz w:val="24"/>
        </w:rPr>
        <w:t>osts</w:t>
      </w:r>
    </w:p>
    <w:p w:rsidR="00176128" w:rsidRDefault="00176128" w:rsidP="00176128">
      <w:pPr>
        <w:pStyle w:val="PlainText"/>
        <w:outlineLvl w:val="0"/>
        <w:rPr>
          <w:rFonts w:ascii="Times New Roman" w:hAnsi="Times New Roman"/>
          <w:sz w:val="24"/>
        </w:rPr>
      </w:pPr>
      <w:r>
        <w:rPr>
          <w:rFonts w:ascii="Times New Roman" w:hAnsi="Times New Roman"/>
          <w:sz w:val="24"/>
        </w:rPr>
        <w:t>40627</w:t>
      </w:r>
      <w:r>
        <w:rPr>
          <w:rFonts w:ascii="Times New Roman" w:hAnsi="Times New Roman"/>
          <w:sz w:val="24"/>
        </w:rPr>
        <w:tab/>
      </w:r>
      <w:r>
        <w:rPr>
          <w:rFonts w:ascii="Times New Roman" w:hAnsi="Times New Roman"/>
          <w:sz w:val="24"/>
        </w:rPr>
        <w:tab/>
      </w:r>
      <w:r>
        <w:rPr>
          <w:rFonts w:ascii="Times New Roman" w:hAnsi="Times New Roman"/>
          <w:sz w:val="24"/>
        </w:rPr>
        <w:tab/>
        <w:t>Austin Energy</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Rate Issues</w:t>
      </w:r>
    </w:p>
    <w:p w:rsidR="00176128" w:rsidRDefault="00176128" w:rsidP="00176128">
      <w:pPr>
        <w:pStyle w:val="PlainText"/>
        <w:outlineLvl w:val="0"/>
        <w:rPr>
          <w:rFonts w:ascii="Times New Roman" w:hAnsi="Times New Roman"/>
          <w:sz w:val="24"/>
        </w:rPr>
      </w:pPr>
      <w:r>
        <w:rPr>
          <w:rFonts w:ascii="Times New Roman" w:hAnsi="Times New Roman"/>
          <w:sz w:val="24"/>
        </w:rPr>
        <w:t>45188</w:t>
      </w:r>
      <w:r>
        <w:rPr>
          <w:rFonts w:ascii="Times New Roman" w:hAnsi="Times New Roman"/>
          <w:sz w:val="24"/>
        </w:rPr>
        <w:tab/>
      </w:r>
      <w:r>
        <w:rPr>
          <w:rFonts w:ascii="Times New Roman" w:hAnsi="Times New Roman"/>
          <w:sz w:val="24"/>
        </w:rPr>
        <w:tab/>
      </w:r>
      <w:r>
        <w:rPr>
          <w:rFonts w:ascii="Times New Roman" w:hAnsi="Times New Roman"/>
          <w:sz w:val="24"/>
        </w:rPr>
        <w:tab/>
        <w:t>Oncor Electric Delivery Company</w:t>
      </w:r>
      <w:r w:rsidR="00B131AB">
        <w:rPr>
          <w:rFonts w:ascii="Times New Roman" w:hAnsi="Times New Roman"/>
          <w:sz w:val="24"/>
        </w:rPr>
        <w:t>, et al.</w:t>
      </w:r>
      <w:r w:rsidR="00B131AB">
        <w:rPr>
          <w:rFonts w:ascii="Times New Roman" w:hAnsi="Times New Roman"/>
          <w:sz w:val="24"/>
        </w:rPr>
        <w:tab/>
      </w:r>
      <w:r w:rsidR="00B131AB">
        <w:rPr>
          <w:rFonts w:ascii="Times New Roman" w:hAnsi="Times New Roman"/>
          <w:sz w:val="24"/>
        </w:rPr>
        <w:tab/>
        <w:t xml:space="preserve">Federal Inc. </w:t>
      </w:r>
      <w:r>
        <w:rPr>
          <w:rFonts w:ascii="Times New Roman" w:hAnsi="Times New Roman"/>
          <w:sz w:val="24"/>
        </w:rPr>
        <w:t>Taxes;</w:t>
      </w:r>
    </w:p>
    <w:p w:rsidR="00176128" w:rsidRDefault="00176128" w:rsidP="00176128">
      <w:pPr>
        <w:pStyle w:val="PlainText"/>
        <w:ind w:left="7200"/>
        <w:outlineLvl w:val="0"/>
        <w:rPr>
          <w:rFonts w:ascii="Times New Roman" w:hAnsi="Times New Roman"/>
          <w:sz w:val="24"/>
        </w:rPr>
      </w:pPr>
      <w:r>
        <w:rPr>
          <w:rFonts w:ascii="Times New Roman" w:hAnsi="Times New Roman"/>
          <w:sz w:val="24"/>
        </w:rPr>
        <w:t xml:space="preserve">     Cost of Capital </w:t>
      </w:r>
    </w:p>
    <w:p w:rsidR="00176128" w:rsidRDefault="00176128" w:rsidP="00176128">
      <w:pPr>
        <w:pStyle w:val="PlainText"/>
        <w:outlineLvl w:val="0"/>
        <w:rPr>
          <w:rFonts w:ascii="Times New Roman" w:hAnsi="Times New Roman"/>
          <w:sz w:val="24"/>
        </w:rPr>
      </w:pPr>
      <w:r>
        <w:rPr>
          <w:rFonts w:ascii="Times New Roman" w:hAnsi="Times New Roman"/>
          <w:sz w:val="24"/>
        </w:rPr>
        <w:t>46238</w:t>
      </w:r>
      <w:r>
        <w:rPr>
          <w:rFonts w:ascii="Times New Roman" w:hAnsi="Times New Roman"/>
          <w:sz w:val="24"/>
        </w:rPr>
        <w:tab/>
      </w:r>
      <w:r>
        <w:rPr>
          <w:rFonts w:ascii="Times New Roman" w:hAnsi="Times New Roman"/>
          <w:sz w:val="24"/>
        </w:rPr>
        <w:tab/>
      </w:r>
      <w:r>
        <w:rPr>
          <w:rFonts w:ascii="Times New Roman" w:hAnsi="Times New Roman"/>
          <w:sz w:val="24"/>
        </w:rPr>
        <w:tab/>
        <w:t>NextEra, Oncor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Federal Income Taxes</w:t>
      </w:r>
    </w:p>
    <w:p w:rsidR="00176128" w:rsidRDefault="00176128" w:rsidP="00176128">
      <w:pPr>
        <w:pStyle w:val="PlainText"/>
        <w:outlineLvl w:val="0"/>
        <w:rPr>
          <w:rFonts w:ascii="Times New Roman" w:hAnsi="Times New Roman"/>
          <w:sz w:val="24"/>
        </w:rPr>
      </w:pPr>
      <w:r>
        <w:rPr>
          <w:rFonts w:ascii="Times New Roman" w:hAnsi="Times New Roman"/>
          <w:sz w:val="24"/>
        </w:rPr>
        <w:t>45414</w:t>
      </w:r>
      <w:r>
        <w:rPr>
          <w:rFonts w:ascii="Times New Roman" w:hAnsi="Times New Roman"/>
          <w:sz w:val="24"/>
        </w:rPr>
        <w:tab/>
      </w:r>
      <w:r>
        <w:rPr>
          <w:rFonts w:ascii="Times New Roman" w:hAnsi="Times New Roman"/>
          <w:sz w:val="24"/>
        </w:rPr>
        <w:tab/>
      </w:r>
      <w:r>
        <w:rPr>
          <w:rFonts w:ascii="Times New Roman" w:hAnsi="Times New Roman"/>
          <w:sz w:val="24"/>
        </w:rPr>
        <w:tab/>
        <w:t>Sharyland Utilities, et al.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Federal Income Taxes</w:t>
      </w:r>
    </w:p>
    <w:p w:rsidR="00176128" w:rsidRDefault="00176128" w:rsidP="00176128">
      <w:pPr>
        <w:pStyle w:val="PlainText"/>
        <w:outlineLvl w:val="0"/>
        <w:rPr>
          <w:rFonts w:ascii="Times New Roman" w:hAnsi="Times New Roman"/>
          <w:sz w:val="24"/>
        </w:rPr>
      </w:pPr>
      <w:r>
        <w:rPr>
          <w:rFonts w:ascii="Times New Roman" w:hAnsi="Times New Roman"/>
          <w:sz w:val="24"/>
        </w:rPr>
        <w:t>46936</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 Co.</w:t>
      </w:r>
      <w:r>
        <w:rPr>
          <w:rFonts w:ascii="Times New Roman" w:hAnsi="Times New Roman"/>
          <w:sz w:val="24"/>
        </w:rPr>
        <w:tab/>
      </w:r>
      <w:r>
        <w:rPr>
          <w:rFonts w:ascii="Times New Roman" w:hAnsi="Times New Roman"/>
          <w:sz w:val="24"/>
        </w:rPr>
        <w:tab/>
      </w:r>
      <w:r>
        <w:rPr>
          <w:rFonts w:ascii="Times New Roman" w:hAnsi="Times New Roman"/>
          <w:sz w:val="24"/>
        </w:rPr>
        <w:tab/>
        <w:t>Wind Facilities—Rate</w:t>
      </w:r>
    </w:p>
    <w:p w:rsidR="00176128" w:rsidRDefault="00176128" w:rsidP="00176128">
      <w:pPr>
        <w:pStyle w:val="PlainText"/>
        <w:ind w:left="7200"/>
        <w:outlineLvl w:val="0"/>
        <w:rPr>
          <w:rFonts w:ascii="Times New Roman" w:hAnsi="Times New Roman"/>
          <w:sz w:val="24"/>
        </w:rPr>
      </w:pPr>
      <w:r>
        <w:rPr>
          <w:rFonts w:ascii="Times New Roman" w:hAnsi="Times New Roman"/>
          <w:sz w:val="24"/>
        </w:rPr>
        <w:t xml:space="preserve">      Treatment</w:t>
      </w:r>
    </w:p>
    <w:p w:rsidR="00176128" w:rsidRDefault="00176128" w:rsidP="00176128">
      <w:pPr>
        <w:pStyle w:val="PlainText"/>
        <w:outlineLvl w:val="0"/>
        <w:rPr>
          <w:rFonts w:ascii="Times New Roman" w:hAnsi="Times New Roman"/>
          <w:sz w:val="24"/>
        </w:rPr>
      </w:pPr>
      <w:r>
        <w:rPr>
          <w:rFonts w:ascii="Times New Roman" w:hAnsi="Times New Roman"/>
          <w:sz w:val="24"/>
        </w:rPr>
        <w:t>46936</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 Co.</w:t>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rsidR="00176128" w:rsidRDefault="00176128" w:rsidP="00176128">
      <w:pPr>
        <w:pStyle w:val="PlainText"/>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of Stipulation</w:t>
      </w:r>
    </w:p>
    <w:p w:rsidR="00176128" w:rsidRDefault="00176128" w:rsidP="00176128">
      <w:pPr>
        <w:pStyle w:val="PlainText"/>
        <w:outlineLvl w:val="0"/>
        <w:rPr>
          <w:rFonts w:ascii="Times New Roman" w:hAnsi="Times New Roman"/>
          <w:sz w:val="24"/>
        </w:rPr>
      </w:pPr>
      <w:r>
        <w:rPr>
          <w:rFonts w:ascii="Times New Roman" w:hAnsi="Times New Roman"/>
          <w:sz w:val="24"/>
        </w:rPr>
        <w:t>46957</w:t>
      </w:r>
      <w:r>
        <w:rPr>
          <w:rFonts w:ascii="Times New Roman" w:hAnsi="Times New Roman"/>
          <w:sz w:val="24"/>
        </w:rPr>
        <w:tab/>
      </w:r>
      <w:r>
        <w:rPr>
          <w:rFonts w:ascii="Times New Roman" w:hAnsi="Times New Roman"/>
          <w:sz w:val="24"/>
        </w:rPr>
        <w:tab/>
      </w:r>
      <w:r>
        <w:rPr>
          <w:rFonts w:ascii="Times New Roman" w:hAnsi="Times New Roman"/>
          <w:sz w:val="24"/>
        </w:rPr>
        <w:tab/>
        <w:t>Oncor Electric Delivery Company</w:t>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rsidR="00176128" w:rsidRDefault="00176128" w:rsidP="00B131AB">
      <w:pPr>
        <w:pStyle w:val="PlainText"/>
        <w:ind w:left="7620"/>
        <w:outlineLvl w:val="0"/>
        <w:rPr>
          <w:rFonts w:ascii="Times New Roman" w:hAnsi="Times New Roman"/>
          <w:sz w:val="24"/>
        </w:rPr>
      </w:pPr>
      <w:r>
        <w:rPr>
          <w:rFonts w:ascii="Times New Roman" w:hAnsi="Times New Roman"/>
          <w:sz w:val="24"/>
        </w:rPr>
        <w:t xml:space="preserve">of Stipulation </w:t>
      </w:r>
      <w:r w:rsidR="00A54C01">
        <w:rPr>
          <w:rFonts w:ascii="Times New Roman" w:hAnsi="Times New Roman"/>
          <w:sz w:val="24"/>
        </w:rPr>
        <w:t>(</w:t>
      </w:r>
      <w:r>
        <w:rPr>
          <w:rFonts w:ascii="Times New Roman" w:hAnsi="Times New Roman"/>
          <w:sz w:val="24"/>
        </w:rPr>
        <w:t>incl</w:t>
      </w:r>
      <w:r w:rsidR="00A54C01">
        <w:rPr>
          <w:rFonts w:ascii="Times New Roman" w:hAnsi="Times New Roman"/>
          <w:sz w:val="24"/>
        </w:rPr>
        <w:t>uded</w:t>
      </w:r>
      <w:r>
        <w:rPr>
          <w:rFonts w:ascii="Times New Roman" w:hAnsi="Times New Roman"/>
          <w:sz w:val="24"/>
        </w:rPr>
        <w:t xml:space="preserve"> in AIS item #420)</w:t>
      </w:r>
    </w:p>
    <w:p w:rsidR="00A54C01" w:rsidRDefault="00A54C01" w:rsidP="00A54C01">
      <w:pPr>
        <w:pStyle w:val="PlainText"/>
        <w:outlineLvl w:val="0"/>
        <w:rPr>
          <w:rFonts w:ascii="Times New Roman" w:hAnsi="Times New Roman"/>
          <w:sz w:val="24"/>
        </w:rPr>
      </w:pPr>
      <w:r>
        <w:rPr>
          <w:rFonts w:ascii="Times New Roman" w:hAnsi="Times New Roman"/>
          <w:sz w:val="24"/>
        </w:rPr>
        <w:t>47527</w:t>
      </w:r>
      <w:r>
        <w:rPr>
          <w:rFonts w:ascii="Times New Roman" w:hAnsi="Times New Roman"/>
          <w:sz w:val="24"/>
        </w:rPr>
        <w:tab/>
      </w:r>
      <w:r>
        <w:rPr>
          <w:rFonts w:ascii="Times New Roman" w:hAnsi="Times New Roman"/>
          <w:sz w:val="24"/>
        </w:rPr>
        <w:tab/>
      </w:r>
      <w:r>
        <w:rPr>
          <w:rFonts w:ascii="Times New Roman" w:hAnsi="Times New Roman"/>
          <w:sz w:val="24"/>
        </w:rPr>
        <w:tab/>
        <w:t>Southwestern Public Service Company</w:t>
      </w:r>
      <w:r>
        <w:rPr>
          <w:rFonts w:ascii="Times New Roman" w:hAnsi="Times New Roman"/>
          <w:sz w:val="24"/>
        </w:rPr>
        <w:tab/>
      </w:r>
      <w:r>
        <w:rPr>
          <w:rFonts w:ascii="Times New Roman" w:hAnsi="Times New Roman"/>
          <w:sz w:val="24"/>
        </w:rPr>
        <w:tab/>
        <w:t>Testimony in Support</w:t>
      </w:r>
    </w:p>
    <w:p w:rsidR="00A54C01" w:rsidRDefault="00A54C01" w:rsidP="00A54C01">
      <w:pPr>
        <w:pStyle w:val="PlainText"/>
        <w:ind w:left="6480" w:firstLine="720"/>
        <w:jc w:val="both"/>
        <w:outlineLvl w:val="0"/>
        <w:rPr>
          <w:rFonts w:ascii="Times New Roman" w:hAnsi="Times New Roman"/>
          <w:sz w:val="24"/>
        </w:rPr>
      </w:pPr>
      <w:r>
        <w:rPr>
          <w:rFonts w:ascii="Times New Roman" w:hAnsi="Times New Roman"/>
          <w:sz w:val="24"/>
        </w:rPr>
        <w:t xml:space="preserve">       of Stipulation</w:t>
      </w:r>
    </w:p>
    <w:p w:rsidR="000B5DF8" w:rsidRDefault="000B5DF8" w:rsidP="000B5DF8">
      <w:pPr>
        <w:pStyle w:val="PlainText"/>
        <w:jc w:val="both"/>
        <w:outlineLvl w:val="0"/>
        <w:rPr>
          <w:rFonts w:ascii="Times New Roman" w:hAnsi="Times New Roman"/>
          <w:sz w:val="24"/>
        </w:rPr>
      </w:pPr>
      <w:r>
        <w:rPr>
          <w:rFonts w:ascii="Times New Roman" w:hAnsi="Times New Roman"/>
          <w:sz w:val="24"/>
        </w:rPr>
        <w:t>48401</w:t>
      </w:r>
      <w:r>
        <w:rPr>
          <w:rFonts w:ascii="Times New Roman" w:hAnsi="Times New Roman"/>
          <w:sz w:val="24"/>
        </w:rPr>
        <w:tab/>
      </w:r>
      <w:r>
        <w:rPr>
          <w:rFonts w:ascii="Times New Roman" w:hAnsi="Times New Roman"/>
          <w:sz w:val="24"/>
        </w:rPr>
        <w:tab/>
      </w:r>
      <w:r>
        <w:rPr>
          <w:rFonts w:ascii="Times New Roman" w:hAnsi="Times New Roman"/>
          <w:sz w:val="24"/>
        </w:rPr>
        <w:tab/>
        <w:t>Texas-New Mexico Power Company</w:t>
      </w:r>
      <w:r>
        <w:rPr>
          <w:rFonts w:ascii="Times New Roman" w:hAnsi="Times New Roman"/>
          <w:sz w:val="24"/>
        </w:rPr>
        <w:tab/>
      </w:r>
      <w:r>
        <w:rPr>
          <w:rFonts w:ascii="Times New Roman" w:hAnsi="Times New Roman"/>
          <w:sz w:val="24"/>
        </w:rPr>
        <w:tab/>
      </w:r>
      <w:r>
        <w:rPr>
          <w:rFonts w:ascii="Times New Roman" w:hAnsi="Times New Roman"/>
          <w:sz w:val="24"/>
        </w:rPr>
        <w:tab/>
        <w:t>Testimony in Support</w:t>
      </w:r>
    </w:p>
    <w:p w:rsidR="000B5DF8" w:rsidRDefault="000B5DF8" w:rsidP="000B5DF8">
      <w:pPr>
        <w:pStyle w:val="PlainText"/>
        <w:jc w:val="both"/>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of Stipulation</w:t>
      </w:r>
    </w:p>
    <w:p w:rsidR="003F034A" w:rsidRDefault="003F034A" w:rsidP="003F034A">
      <w:pPr>
        <w:pStyle w:val="PlainText"/>
        <w:ind w:left="7200"/>
        <w:rPr>
          <w:rFonts w:ascii="Times New Roman" w:hAnsi="Times New Roman"/>
          <w:sz w:val="24"/>
        </w:rPr>
      </w:pPr>
      <w:r>
        <w:rPr>
          <w:rFonts w:ascii="Times New Roman" w:hAnsi="Times New Roman"/>
          <w:sz w:val="24"/>
        </w:rPr>
        <w:lastRenderedPageBreak/>
        <w:t xml:space="preserve">  Attachment DT-1</w:t>
      </w:r>
    </w:p>
    <w:p w:rsidR="003F034A" w:rsidRDefault="003F034A" w:rsidP="003F034A">
      <w:pPr>
        <w:pStyle w:val="PlainTex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Page 3 of 3</w:t>
      </w:r>
    </w:p>
    <w:p w:rsidR="003F034A" w:rsidRDefault="003F034A" w:rsidP="003F034A">
      <w:pPr>
        <w:pStyle w:val="PlainText"/>
        <w:tabs>
          <w:tab w:val="left" w:pos="7020"/>
        </w:tabs>
        <w:jc w:val="center"/>
        <w:outlineLvl w:val="0"/>
        <w:rPr>
          <w:rFonts w:ascii="Times New Roman" w:hAnsi="Times New Roman"/>
          <w:b/>
          <w:sz w:val="24"/>
        </w:rPr>
      </w:pPr>
    </w:p>
    <w:p w:rsidR="003F034A" w:rsidRDefault="003F034A" w:rsidP="003F034A">
      <w:pPr>
        <w:pStyle w:val="PlainText"/>
        <w:tabs>
          <w:tab w:val="left" w:pos="7020"/>
        </w:tabs>
        <w:jc w:val="center"/>
        <w:outlineLvl w:val="0"/>
        <w:rPr>
          <w:rFonts w:ascii="Times New Roman" w:hAnsi="Times New Roman"/>
          <w:b/>
          <w:sz w:val="24"/>
        </w:rPr>
      </w:pPr>
      <w:r>
        <w:rPr>
          <w:rFonts w:ascii="Times New Roman" w:hAnsi="Times New Roman"/>
          <w:b/>
          <w:sz w:val="24"/>
        </w:rPr>
        <w:t xml:space="preserve">LIST OF TESTIMONIES </w:t>
      </w:r>
    </w:p>
    <w:p w:rsidR="003F034A" w:rsidRDefault="003F034A" w:rsidP="003F034A">
      <w:pPr>
        <w:suppressLineNumbers/>
        <w:ind w:right="360"/>
        <w:jc w:val="center"/>
        <w:rPr>
          <w:b/>
          <w:sz w:val="24"/>
        </w:rPr>
      </w:pPr>
      <w:r>
        <w:rPr>
          <w:b/>
          <w:sz w:val="24"/>
        </w:rPr>
        <w:t xml:space="preserve">     BY DARRYL TIETJEN (cont.)</w:t>
      </w:r>
    </w:p>
    <w:p w:rsidR="003F034A" w:rsidRDefault="003F034A" w:rsidP="000B5DF8">
      <w:pPr>
        <w:pStyle w:val="PlainText"/>
        <w:jc w:val="both"/>
        <w:outlineLvl w:val="0"/>
        <w:rPr>
          <w:rFonts w:ascii="Times New Roman" w:hAnsi="Times New Roman"/>
          <w:sz w:val="24"/>
        </w:rPr>
      </w:pPr>
    </w:p>
    <w:p w:rsidR="003F034A" w:rsidRDefault="003F034A" w:rsidP="003F034A">
      <w:pPr>
        <w:pStyle w:val="PlainText"/>
        <w:jc w:val="both"/>
        <w:outlineLvl w:val="0"/>
        <w:rPr>
          <w:rFonts w:ascii="Times New Roman" w:hAnsi="Times New Roman"/>
          <w:sz w:val="24"/>
        </w:rPr>
      </w:pPr>
      <w:r>
        <w:rPr>
          <w:rFonts w:ascii="Times New Roman" w:hAnsi="Times New Roman"/>
          <w:sz w:val="24"/>
        </w:rPr>
        <w:t>48929</w:t>
      </w:r>
      <w:r>
        <w:rPr>
          <w:rFonts w:ascii="Times New Roman" w:hAnsi="Times New Roman"/>
          <w:sz w:val="24"/>
        </w:rPr>
        <w:tab/>
      </w:r>
      <w:r>
        <w:rPr>
          <w:rFonts w:ascii="Times New Roman" w:hAnsi="Times New Roman"/>
          <w:sz w:val="24"/>
        </w:rPr>
        <w:tab/>
      </w:r>
      <w:r>
        <w:rPr>
          <w:rFonts w:ascii="Times New Roman" w:hAnsi="Times New Roman"/>
          <w:sz w:val="24"/>
        </w:rPr>
        <w:tab/>
        <w:t xml:space="preserve">Oncor Electric Delivery Company, </w:t>
      </w:r>
      <w:r>
        <w:rPr>
          <w:rFonts w:ascii="Times New Roman" w:hAnsi="Times New Roman"/>
          <w:sz w:val="24"/>
        </w:rPr>
        <w:tab/>
      </w:r>
      <w:r>
        <w:rPr>
          <w:rFonts w:ascii="Times New Roman" w:hAnsi="Times New Roman"/>
          <w:sz w:val="24"/>
        </w:rPr>
        <w:tab/>
      </w:r>
      <w:r>
        <w:rPr>
          <w:rFonts w:ascii="Times New Roman" w:hAnsi="Times New Roman"/>
          <w:sz w:val="24"/>
        </w:rPr>
        <w:tab/>
      </w:r>
      <w:r w:rsidR="00C207D4">
        <w:rPr>
          <w:rFonts w:ascii="Times New Roman" w:hAnsi="Times New Roman"/>
          <w:sz w:val="24"/>
        </w:rPr>
        <w:t>Rate-Related Issues</w:t>
      </w:r>
    </w:p>
    <w:p w:rsidR="005906C2" w:rsidRDefault="003F034A" w:rsidP="003F034A">
      <w:pPr>
        <w:pStyle w:val="PlainText"/>
        <w:jc w:val="both"/>
        <w:outlineLvl w:val="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t>Sharyland Utilities, LP, et al.</w:t>
      </w:r>
      <w:r>
        <w:rPr>
          <w:rFonts w:ascii="Times New Roman" w:hAnsi="Times New Roman"/>
          <w:sz w:val="24"/>
        </w:rPr>
        <w:tab/>
      </w:r>
    </w:p>
    <w:p w:rsidR="005906C2" w:rsidRDefault="005906C2" w:rsidP="005906C2">
      <w:pPr>
        <w:pStyle w:val="PlainText"/>
        <w:jc w:val="both"/>
        <w:outlineLvl w:val="0"/>
        <w:rPr>
          <w:rFonts w:ascii="Times New Roman" w:hAnsi="Times New Roman"/>
          <w:sz w:val="24"/>
        </w:rPr>
      </w:pPr>
      <w:r>
        <w:rPr>
          <w:rFonts w:ascii="Times New Roman" w:hAnsi="Times New Roman"/>
          <w:sz w:val="24"/>
        </w:rPr>
        <w:t>49308</w:t>
      </w:r>
      <w:r>
        <w:rPr>
          <w:rFonts w:ascii="Times New Roman" w:hAnsi="Times New Roman"/>
          <w:sz w:val="24"/>
        </w:rPr>
        <w:tab/>
      </w:r>
      <w:r>
        <w:rPr>
          <w:rFonts w:ascii="Times New Roman" w:hAnsi="Times New Roman"/>
          <w:sz w:val="24"/>
        </w:rPr>
        <w:tab/>
      </w:r>
      <w:r>
        <w:rPr>
          <w:rFonts w:ascii="Times New Roman" w:hAnsi="Times New Roman"/>
          <w:sz w:val="24"/>
        </w:rPr>
        <w:tab/>
        <w:t>AEP Texas, Inc.</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Testimony in Support of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Stipulation (Financing Order)</w:t>
      </w:r>
    </w:p>
    <w:p w:rsidR="005906C2" w:rsidRDefault="005906C2" w:rsidP="003F034A">
      <w:pPr>
        <w:pStyle w:val="PlainText"/>
        <w:jc w:val="both"/>
        <w:outlineLvl w:val="0"/>
        <w:rPr>
          <w:rFonts w:ascii="Times New Roman" w:hAnsi="Times New Roman"/>
          <w:sz w:val="24"/>
        </w:rPr>
      </w:pPr>
    </w:p>
    <w:p w:rsidR="003F034A" w:rsidRDefault="003F034A" w:rsidP="000B5DF8">
      <w:pPr>
        <w:pStyle w:val="PlainText"/>
        <w:jc w:val="both"/>
        <w:outlineLvl w:val="0"/>
        <w:rPr>
          <w:rFonts w:ascii="Times New Roman" w:hAnsi="Times New Roman"/>
          <w:sz w:val="24"/>
        </w:rPr>
      </w:pPr>
    </w:p>
    <w:p w:rsidR="00A54C01" w:rsidRDefault="00A54C01" w:rsidP="00B131AB">
      <w:pPr>
        <w:pStyle w:val="PlainText"/>
        <w:ind w:left="7620"/>
        <w:outlineLvl w:val="0"/>
        <w:rPr>
          <w:rFonts w:ascii="Times New Roman" w:hAnsi="Times New Roman"/>
          <w:sz w:val="24"/>
        </w:rPr>
      </w:pPr>
    </w:p>
    <w:p w:rsidR="009C107D" w:rsidRPr="004046C6" w:rsidRDefault="00176128" w:rsidP="00176128">
      <w:pPr>
        <w:jc w:val="center"/>
        <w:rPr>
          <w:sz w:val="24"/>
          <w:szCs w:val="24"/>
        </w:rPr>
      </w:pPr>
      <w:r>
        <w:rPr>
          <w:sz w:val="24"/>
        </w:rPr>
        <w:tab/>
      </w:r>
    </w:p>
    <w:sectPr w:rsidR="009C107D" w:rsidRPr="004046C6" w:rsidSect="004046C6">
      <w:headerReference w:type="default" r:id="rId16"/>
      <w:footerReference w:type="default" r:id="rId17"/>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83C" w:rsidRDefault="007B283C">
      <w:r>
        <w:separator/>
      </w:r>
    </w:p>
  </w:endnote>
  <w:endnote w:type="continuationSeparator" w:id="0">
    <w:p w:rsidR="007B283C" w:rsidRDefault="007B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Times New (W1)">
    <w:altName w:val="Times New Roman"/>
    <w:charset w:val="00"/>
    <w:family w:val="roman"/>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195" w:rsidRDefault="00222195">
    <w:pPr>
      <w:rPr>
        <w:sz w:val="16"/>
        <w:szCs w:val="16"/>
      </w:rPr>
    </w:pPr>
    <w:r>
      <w:rPr>
        <w:noProof/>
      </w:rPr>
      <mc:AlternateContent>
        <mc:Choice Requires="wps">
          <w:drawing>
            <wp:anchor distT="0" distB="0" distL="63500" distR="63500" simplePos="0" relativeHeight="251658240" behindDoc="0" locked="0" layoutInCell="0" allowOverlap="1" wp14:anchorId="786D787A" wp14:editId="1AB3C7A6">
              <wp:simplePos x="0" y="0"/>
              <wp:positionH relativeFrom="page">
                <wp:posOffset>533400</wp:posOffset>
              </wp:positionH>
              <wp:positionV relativeFrom="paragraph">
                <wp:posOffset>0</wp:posOffset>
              </wp:positionV>
              <wp:extent cx="6946900" cy="194945"/>
              <wp:effectExtent l="0" t="0" r="6350" b="50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2195" w:rsidRDefault="00222195">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6D787A" id="_x0000_t202" coordsize="21600,21600" o:spt="202" path="m,l,21600r21600,l21600,xe">
              <v:stroke joinstyle="miter"/>
              <v:path gradientshapeok="t" o:connecttype="rect"/>
            </v:shapetype>
            <v:shape id="Text Box 2" o:spid="_x0000_s1027" type="#_x0000_t202" style="position:absolute;margin-left:42pt;margin-top:0;width:547pt;height:15.3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" o:allowincell="f" stroked="f">
              <v:fill opacity="0"/>
              <v:textbox inset="0,0,0,0">
                <w:txbxContent>
                  <w:p w:rsidR="00222195" w:rsidRDefault="00222195">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v:textbox>
              <w10:wrap type="square"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195" w:rsidRPr="002D0161" w:rsidRDefault="00D50DF8" w:rsidP="00EB7D33">
    <w:pPr>
      <w:pStyle w:val="Footer"/>
      <w:pBdr>
        <w:top w:val="single" w:sz="4" w:space="1" w:color="auto"/>
      </w:pBdr>
      <w:tabs>
        <w:tab w:val="clear" w:pos="8640"/>
        <w:tab w:val="right" w:pos="9360"/>
      </w:tabs>
      <w:jc w:val="both"/>
    </w:pPr>
    <w:r>
      <w:t xml:space="preserve">Redacted </w:t>
    </w:r>
    <w:r w:rsidR="00222195">
      <w:t>Direct Testimony of Darryl Tietjen</w:t>
    </w:r>
    <w:r w:rsidR="00222195">
      <w:tab/>
    </w:r>
    <w:r w:rsidR="00222195">
      <w:tab/>
      <w:t>June</w:t>
    </w:r>
    <w:r w:rsidR="00222195" w:rsidRPr="00B327D9">
      <w:t xml:space="preserve"> </w:t>
    </w:r>
    <w:r w:rsidR="00222195">
      <w:t>12, 2019</w:t>
    </w:r>
  </w:p>
  <w:p w:rsidR="00222195" w:rsidRPr="00EB7D33" w:rsidRDefault="00222195" w:rsidP="00EB7D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B42" w:rsidRDefault="00775B4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195" w:rsidRPr="002D0161" w:rsidRDefault="00E4512C" w:rsidP="00E36681">
    <w:pPr>
      <w:pStyle w:val="Footer"/>
      <w:pBdr>
        <w:top w:val="single" w:sz="4" w:space="1" w:color="auto"/>
      </w:pBdr>
      <w:tabs>
        <w:tab w:val="clear" w:pos="8640"/>
        <w:tab w:val="right" w:pos="9360"/>
      </w:tabs>
      <w:jc w:val="both"/>
    </w:pPr>
    <w:r>
      <w:t xml:space="preserve">Redacted </w:t>
    </w:r>
    <w:r w:rsidR="00222195">
      <w:t>Direct Testimony of Darryl Tietjen</w:t>
    </w:r>
    <w:r w:rsidR="00222195">
      <w:tab/>
    </w:r>
    <w:r w:rsidR="00222195">
      <w:tab/>
      <w:t>June</w:t>
    </w:r>
    <w:r w:rsidR="00222195" w:rsidRPr="000E5E44">
      <w:t xml:space="preserve"> </w:t>
    </w:r>
    <w:r w:rsidR="00222195">
      <w:t>12, 2019</w:t>
    </w:r>
  </w:p>
  <w:p w:rsidR="00222195" w:rsidRPr="009064DA" w:rsidRDefault="00222195" w:rsidP="00906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83C" w:rsidRDefault="007B283C">
      <w:r>
        <w:separator/>
      </w:r>
    </w:p>
  </w:footnote>
  <w:footnote w:type="continuationSeparator" w:id="0">
    <w:p w:rsidR="007B283C" w:rsidRDefault="007B283C">
      <w:r>
        <w:continuationSeparator/>
      </w:r>
    </w:p>
  </w:footnote>
  <w:footnote w:id="1">
    <w:p w:rsidR="00222195" w:rsidRDefault="00222195" w:rsidP="00EC6C95">
      <w:pPr>
        <w:pStyle w:val="FootnoteText"/>
        <w:ind w:firstLine="720"/>
      </w:pPr>
      <w:r>
        <w:rPr>
          <w:rStyle w:val="FootnoteReference"/>
        </w:rPr>
        <w:footnoteRef/>
      </w:r>
      <w:r>
        <w:t xml:space="preserve"> See:</w:t>
      </w:r>
    </w:p>
    <w:p w:rsidR="00222195" w:rsidRDefault="00775B42" w:rsidP="00EC6C95">
      <w:pPr>
        <w:pStyle w:val="FootnoteText"/>
        <w:ind w:firstLine="720"/>
      </w:pPr>
      <w:hyperlink r:id="rId1" w:history="1">
        <w:r w:rsidR="00222195" w:rsidRPr="00CD083C">
          <w:rPr>
            <w:rStyle w:val="Hyperlink"/>
          </w:rPr>
          <w:t>https://www.vectren.com/corporate/about</w:t>
        </w:r>
      </w:hyperlink>
      <w:r w:rsidR="00222195">
        <w:rPr>
          <w:rStyle w:val="Hyperlink"/>
        </w:rPr>
        <w:t>;</w:t>
      </w:r>
    </w:p>
    <w:p w:rsidR="00222195" w:rsidRDefault="00775B42" w:rsidP="00EC6C95">
      <w:pPr>
        <w:pStyle w:val="FootnoteText"/>
        <w:ind w:left="720"/>
      </w:pPr>
      <w:hyperlink r:id="rId2" w:history="1">
        <w:r w:rsidR="00222195">
          <w:rPr>
            <w:rStyle w:val="Hyperlink"/>
          </w:rPr>
          <w:t>https://www.centerpointenergy.com/en-us/corporate/about-us/news/1201</w:t>
        </w:r>
      </w:hyperlink>
      <w:r w:rsidR="00222195">
        <w:rPr>
          <w:rStyle w:val="Hyperlink"/>
        </w:rPr>
        <w:t>;</w:t>
      </w:r>
    </w:p>
    <w:p w:rsidR="00222195" w:rsidRDefault="00775B42" w:rsidP="00EC6C95">
      <w:pPr>
        <w:pStyle w:val="FootnoteText"/>
        <w:ind w:left="720"/>
      </w:pPr>
      <w:hyperlink r:id="rId3" w:history="1">
        <w:r w:rsidR="00222195">
          <w:rPr>
            <w:rStyle w:val="Hyperlink"/>
          </w:rPr>
          <w:t>https://www.centerpointenergy.com/en-us/Corp/Documents/CenterPoint_Energy_Fact_Sheet.pdf</w:t>
        </w:r>
      </w:hyperlink>
      <w:r w:rsidR="00222195">
        <w:rPr>
          <w:rStyle w:val="Hyperlink"/>
        </w:rPr>
        <w:t>.</w:t>
      </w:r>
    </w:p>
    <w:p w:rsidR="00222195" w:rsidRDefault="00222195" w:rsidP="00EC6C95">
      <w:pPr>
        <w:pStyle w:val="FootnoteText"/>
        <w:ind w:left="720"/>
      </w:pPr>
      <w:r>
        <w:t>Also see Exhibit MSK-2 (Vectren Post-Closing Ownership Structure) in the Direct Testimony of CEHE witness M. Shane Kimzey.</w:t>
      </w:r>
    </w:p>
  </w:footnote>
  <w:footnote w:id="2">
    <w:p w:rsidR="00222195" w:rsidRDefault="00222195" w:rsidP="00166122">
      <w:pPr>
        <w:pStyle w:val="FootnoteText"/>
        <w:spacing w:after="120"/>
        <w:ind w:firstLine="720"/>
      </w:pPr>
      <w:r>
        <w:rPr>
          <w:rStyle w:val="FootnoteReference"/>
        </w:rPr>
        <w:footnoteRef/>
      </w:r>
      <w:r>
        <w:t xml:space="preserve"> PURA §§ 14.101, 39.262, and 39.915.</w:t>
      </w:r>
    </w:p>
  </w:footnote>
  <w:footnote w:id="3">
    <w:p w:rsidR="00222195" w:rsidRPr="00D953B8" w:rsidRDefault="00222195" w:rsidP="00200A1A">
      <w:pPr>
        <w:pStyle w:val="FootnoteText"/>
        <w:spacing w:after="120"/>
        <w:ind w:left="720" w:right="360"/>
        <w:jc w:val="both"/>
      </w:pPr>
      <w:r>
        <w:rPr>
          <w:rStyle w:val="FootnoteReference"/>
        </w:rPr>
        <w:footnoteRef/>
      </w:r>
      <w:r>
        <w:t xml:space="preserve"> </w:t>
      </w:r>
      <w:r>
        <w:rPr>
          <w:i/>
        </w:rPr>
        <w:t xml:space="preserve">Application of CenterPoint Energy Houston Electric, LLC for Authority to Change Rates, </w:t>
      </w:r>
      <w:r>
        <w:t>Docket No. 38339 (Order on Rehearing, June 23, 2011).</w:t>
      </w:r>
    </w:p>
  </w:footnote>
  <w:footnote w:id="4">
    <w:p w:rsidR="00222195" w:rsidRDefault="00222195" w:rsidP="00CC5019">
      <w:pPr>
        <w:pStyle w:val="FootnoteText"/>
        <w:ind w:firstLine="720"/>
      </w:pPr>
      <w:r>
        <w:rPr>
          <w:rStyle w:val="FootnoteReference"/>
        </w:rPr>
        <w:footnoteRef/>
      </w:r>
      <w:r>
        <w:t xml:space="preserve"> </w:t>
      </w:r>
      <w:r w:rsidRPr="00CC5019">
        <w:rPr>
          <w:i/>
        </w:rPr>
        <w:t>Id.</w:t>
      </w:r>
      <w:r>
        <w:t>, Rebuttal Testimony of John J. Reed at 10, lines 8 – 12.</w:t>
      </w:r>
    </w:p>
  </w:footnote>
  <w:footnote w:id="5">
    <w:p w:rsidR="00222195" w:rsidRDefault="00222195" w:rsidP="000267C6">
      <w:pPr>
        <w:pStyle w:val="FootnoteText"/>
        <w:spacing w:after="120"/>
        <w:ind w:left="720" w:right="360"/>
        <w:jc w:val="both"/>
      </w:pPr>
      <w:r>
        <w:rPr>
          <w:rStyle w:val="FootnoteReference"/>
        </w:rPr>
        <w:footnoteRef/>
      </w:r>
      <w:r>
        <w:t xml:space="preserve"> My workpapers include the Fitch, Moody’s, and S&amp;P reports (redacted) that I reference in this section of my testimony.</w:t>
      </w:r>
    </w:p>
  </w:footnote>
  <w:footnote w:id="6">
    <w:p w:rsidR="00222195" w:rsidRPr="005C0465" w:rsidRDefault="00222195" w:rsidP="005F4B5F">
      <w:pPr>
        <w:pStyle w:val="FootnoteText"/>
        <w:ind w:left="720" w:right="360"/>
        <w:jc w:val="both"/>
      </w:pPr>
      <w:r>
        <w:rPr>
          <w:rStyle w:val="FootnoteReference"/>
        </w:rPr>
        <w:footnoteRef/>
      </w:r>
      <w:r>
        <w:t xml:space="preserve"> S&amp;P and Fitch provide increasing risk and declining credit ratings for “investment grade” bonds ranging from </w:t>
      </w:r>
      <w:r>
        <w:rPr>
          <w:b/>
        </w:rPr>
        <w:t>AAA</w:t>
      </w:r>
      <w:r>
        <w:t xml:space="preserve"> to </w:t>
      </w:r>
      <w:r>
        <w:rPr>
          <w:b/>
        </w:rPr>
        <w:t>AA</w:t>
      </w:r>
      <w:r>
        <w:t xml:space="preserve"> to </w:t>
      </w:r>
      <w:r>
        <w:rPr>
          <w:b/>
        </w:rPr>
        <w:t>A</w:t>
      </w:r>
      <w:r>
        <w:t xml:space="preserve"> to </w:t>
      </w:r>
      <w:r>
        <w:rPr>
          <w:b/>
        </w:rPr>
        <w:t>BBB</w:t>
      </w:r>
      <w:r>
        <w:t xml:space="preserve"> (with “+” and “-” as sub-ratings or notches within these rating classes for relatively lower or higher risk, respectively).  Moody’s provides comparable investment-grade credit quality ratings of </w:t>
      </w:r>
      <w:r>
        <w:rPr>
          <w:b/>
        </w:rPr>
        <w:t>Aaa</w:t>
      </w:r>
      <w:r>
        <w:t xml:space="preserve"> to </w:t>
      </w:r>
      <w:r>
        <w:rPr>
          <w:b/>
        </w:rPr>
        <w:t>Aa</w:t>
      </w:r>
      <w:r>
        <w:t xml:space="preserve"> to </w:t>
      </w:r>
      <w:r>
        <w:rPr>
          <w:b/>
        </w:rPr>
        <w:t>A</w:t>
      </w:r>
      <w:r>
        <w:t xml:space="preserve"> to </w:t>
      </w:r>
      <w:r>
        <w:rPr>
          <w:b/>
        </w:rPr>
        <w:t>Baa</w:t>
      </w:r>
      <w:r>
        <w:t xml:space="preserve"> (with 1, 2, and 3 as sub-ratings or notches within these rating classes for relatively lower to higher risk, respectively).  </w:t>
      </w:r>
      <w:r w:rsidRPr="00B61EBD">
        <w:rPr>
          <w:b/>
        </w:rPr>
        <w:t>Thus, the lowest investment-grade ratings are BBB- (</w:t>
      </w:r>
      <w:r>
        <w:rPr>
          <w:b/>
        </w:rPr>
        <w:t xml:space="preserve">using </w:t>
      </w:r>
      <w:r w:rsidRPr="00B61EBD">
        <w:rPr>
          <w:b/>
        </w:rPr>
        <w:t>S&amp;P and Fitch</w:t>
      </w:r>
      <w:r>
        <w:rPr>
          <w:b/>
        </w:rPr>
        <w:t xml:space="preserve"> conventions</w:t>
      </w:r>
      <w:r w:rsidRPr="00B61EBD">
        <w:rPr>
          <w:b/>
        </w:rPr>
        <w:t>) and Baa3 (</w:t>
      </w:r>
      <w:r>
        <w:rPr>
          <w:b/>
        </w:rPr>
        <w:t xml:space="preserve">using </w:t>
      </w:r>
      <w:r w:rsidRPr="00B61EBD">
        <w:rPr>
          <w:b/>
        </w:rPr>
        <w:t>Moody’s</w:t>
      </w:r>
      <w:r>
        <w:rPr>
          <w:b/>
        </w:rPr>
        <w:t xml:space="preserve"> conventions</w:t>
      </w:r>
      <w:r w:rsidRPr="00B61EBD">
        <w:rPr>
          <w:b/>
        </w:rPr>
        <w:t>).</w:t>
      </w:r>
      <w:r>
        <w:t xml:space="preserve">  Bonds rated </w:t>
      </w:r>
      <w:r>
        <w:rPr>
          <w:b/>
        </w:rPr>
        <w:t>BB</w:t>
      </w:r>
      <w:r>
        <w:t>/</w:t>
      </w:r>
      <w:r>
        <w:rPr>
          <w:b/>
        </w:rPr>
        <w:t>Ba</w:t>
      </w:r>
      <w:r>
        <w:t xml:space="preserve"> (S&amp;P/Moody’s) or lower are often called junk bonds.  Bonds rated </w:t>
      </w:r>
      <w:r>
        <w:rPr>
          <w:b/>
        </w:rPr>
        <w:t>B</w:t>
      </w:r>
      <w:r>
        <w:t>/</w:t>
      </w:r>
      <w:r>
        <w:rPr>
          <w:b/>
        </w:rPr>
        <w:t>B</w:t>
      </w:r>
      <w:r>
        <w:t xml:space="preserve">, </w:t>
      </w:r>
      <w:r>
        <w:rPr>
          <w:b/>
        </w:rPr>
        <w:t>CCC</w:t>
      </w:r>
      <w:r>
        <w:t>/</w:t>
      </w:r>
      <w:r>
        <w:rPr>
          <w:b/>
        </w:rPr>
        <w:t>Caa</w:t>
      </w:r>
      <w:r>
        <w:t xml:space="preserve">, </w:t>
      </w:r>
      <w:r>
        <w:rPr>
          <w:b/>
        </w:rPr>
        <w:t>CC</w:t>
      </w:r>
      <w:r>
        <w:t>/</w:t>
      </w:r>
      <w:r>
        <w:rPr>
          <w:b/>
        </w:rPr>
        <w:t>Ca</w:t>
      </w:r>
      <w:r>
        <w:t xml:space="preserve">, and </w:t>
      </w:r>
      <w:r>
        <w:rPr>
          <w:b/>
        </w:rPr>
        <w:t>C</w:t>
      </w:r>
      <w:r>
        <w:t>/</w:t>
      </w:r>
      <w:r>
        <w:rPr>
          <w:b/>
        </w:rPr>
        <w:t>C</w:t>
      </w:r>
      <w:r>
        <w:t xml:space="preserve"> are considered speculative; bonds rated below these speculative grades reflect insolvency.</w:t>
      </w:r>
    </w:p>
    <w:p w:rsidR="00222195" w:rsidRDefault="00222195">
      <w:pPr>
        <w:pStyle w:val="FootnoteText"/>
      </w:pPr>
    </w:p>
  </w:footnote>
  <w:footnote w:id="7">
    <w:p w:rsidR="00222195" w:rsidRDefault="00222195" w:rsidP="0008382B">
      <w:pPr>
        <w:pStyle w:val="FootnoteText"/>
        <w:spacing w:after="120"/>
        <w:ind w:firstLine="720"/>
      </w:pPr>
      <w:r>
        <w:rPr>
          <w:rStyle w:val="FootnoteReference"/>
        </w:rPr>
        <w:footnoteRef/>
      </w:r>
      <w:r>
        <w:t xml:space="preserve"> R</w:t>
      </w:r>
      <w:r w:rsidRPr="003B70F0">
        <w:t>esponse to Texas Industrial Energy Consumers (TIEC) RFI 2-0</w:t>
      </w:r>
      <w:r>
        <w:t>6 (included in attached workpapers).</w:t>
      </w:r>
    </w:p>
  </w:footnote>
  <w:footnote w:id="8">
    <w:p w:rsidR="00222195" w:rsidRDefault="00222195" w:rsidP="0008382B">
      <w:pPr>
        <w:pStyle w:val="FootnoteText"/>
        <w:spacing w:after="120"/>
        <w:ind w:firstLine="720"/>
      </w:pPr>
      <w:r>
        <w:rPr>
          <w:rStyle w:val="FootnoteReference"/>
        </w:rPr>
        <w:footnoteRef/>
      </w:r>
      <w:r>
        <w:t xml:space="preserve"> R</w:t>
      </w:r>
      <w:r w:rsidRPr="003B70F0">
        <w:t>esponse to TIEC RFI 2-0</w:t>
      </w:r>
      <w:r>
        <w:t>7 (included in attached workpapers).</w:t>
      </w:r>
    </w:p>
  </w:footnote>
  <w:footnote w:id="9">
    <w:p w:rsidR="00222195" w:rsidRDefault="00222195" w:rsidP="0008382B">
      <w:pPr>
        <w:pStyle w:val="FootnoteText"/>
        <w:spacing w:after="120"/>
        <w:ind w:firstLine="720"/>
      </w:pPr>
      <w:r>
        <w:rPr>
          <w:rStyle w:val="FootnoteReference"/>
        </w:rPr>
        <w:footnoteRef/>
      </w:r>
      <w:r>
        <w:t xml:space="preserve"> R</w:t>
      </w:r>
      <w:r w:rsidRPr="003B70F0">
        <w:t>esponse to TIEC RFI 2-0</w:t>
      </w:r>
      <w:r>
        <w:t>8 (included in attached workpapers).</w:t>
      </w:r>
    </w:p>
  </w:footnote>
  <w:footnote w:id="10">
    <w:p w:rsidR="00222195" w:rsidRDefault="00222195" w:rsidP="0008382B">
      <w:pPr>
        <w:pStyle w:val="FootnoteText"/>
        <w:spacing w:after="120"/>
        <w:ind w:firstLine="720"/>
      </w:pPr>
      <w:r>
        <w:rPr>
          <w:rStyle w:val="FootnoteReference"/>
        </w:rPr>
        <w:footnoteRef/>
      </w:r>
      <w:r>
        <w:t xml:space="preserve"> R</w:t>
      </w:r>
      <w:r w:rsidRPr="003B70F0">
        <w:t>esponse to TIEC RFI 2-0</w:t>
      </w:r>
      <w:r>
        <w:t>9 and Staff RFI 13-03 (included in attached workpapers).</w:t>
      </w:r>
    </w:p>
  </w:footnote>
  <w:footnote w:id="11">
    <w:p w:rsidR="00222195" w:rsidRDefault="00222195" w:rsidP="0008382B">
      <w:pPr>
        <w:pStyle w:val="FootnoteText"/>
        <w:spacing w:after="120"/>
        <w:ind w:firstLine="720"/>
      </w:pPr>
      <w:r>
        <w:rPr>
          <w:rStyle w:val="FootnoteReference"/>
        </w:rPr>
        <w:footnoteRef/>
      </w:r>
      <w:r>
        <w:t xml:space="preserve"> Response to Staff RFI 13-04 (included in attached workpapers).</w:t>
      </w:r>
    </w:p>
  </w:footnote>
  <w:footnote w:id="12">
    <w:p w:rsidR="00222195" w:rsidRDefault="00222195" w:rsidP="0008382B">
      <w:pPr>
        <w:pStyle w:val="FootnoteText"/>
        <w:spacing w:after="120"/>
        <w:ind w:firstLine="720"/>
      </w:pPr>
      <w:r>
        <w:rPr>
          <w:rStyle w:val="FootnoteReference"/>
        </w:rPr>
        <w:footnoteRef/>
      </w:r>
      <w:r>
        <w:t xml:space="preserve"> Response to Staff RFI 13-05 (included in attached workpapers).</w:t>
      </w:r>
    </w:p>
  </w:footnote>
  <w:footnote w:id="13">
    <w:p w:rsidR="00222195" w:rsidRDefault="00222195" w:rsidP="0008382B">
      <w:pPr>
        <w:pStyle w:val="FootnoteText"/>
        <w:spacing w:after="120"/>
        <w:ind w:firstLine="720"/>
      </w:pPr>
      <w:r>
        <w:rPr>
          <w:rStyle w:val="FootnoteReference"/>
        </w:rPr>
        <w:footnoteRef/>
      </w:r>
      <w:r>
        <w:t xml:space="preserve"> R</w:t>
      </w:r>
      <w:r w:rsidRPr="003B70F0">
        <w:t>esponse to TIEC RFI 2-</w:t>
      </w:r>
      <w:r>
        <w:t>10 (included in attached workpapers).</w:t>
      </w:r>
    </w:p>
  </w:footnote>
  <w:footnote w:id="14">
    <w:p w:rsidR="00222195" w:rsidRDefault="00222195" w:rsidP="00C64248">
      <w:pPr>
        <w:pStyle w:val="FootnoteText"/>
        <w:ind w:left="720" w:right="360"/>
        <w:jc w:val="both"/>
      </w:pPr>
      <w:r>
        <w:rPr>
          <w:rStyle w:val="FootnoteReference"/>
        </w:rPr>
        <w:footnoteRef/>
      </w:r>
      <w:r>
        <w:t xml:space="preserve"> This rating is two notches above the minimum investment-grade rating.  The Commission may conclude a higher rating is appropriate for this threshold.</w:t>
      </w:r>
    </w:p>
  </w:footnote>
  <w:footnote w:id="15">
    <w:p w:rsidR="00222195" w:rsidRDefault="00222195" w:rsidP="005F3326">
      <w:pPr>
        <w:pStyle w:val="FootnoteText"/>
        <w:ind w:firstLine="720"/>
      </w:pPr>
      <w:r>
        <w:rPr>
          <w:rStyle w:val="FootnoteReference"/>
        </w:rPr>
        <w:footnoteRef/>
      </w:r>
      <w:r>
        <w:t xml:space="preserve"> </w:t>
      </w:r>
      <w:hyperlink r:id="rId4" w:history="1">
        <w:r>
          <w:rPr>
            <w:rStyle w:val="Hyperlink"/>
          </w:rPr>
          <w:t>https://www.cnbc.com/2018/08/07/here-are-the-top-10-largest-leveraged-buyouts-in-history.html</w:t>
        </w:r>
      </w:hyperlink>
      <w:r>
        <w:t>;</w:t>
      </w:r>
    </w:p>
    <w:p w:rsidR="00222195" w:rsidRDefault="00222195" w:rsidP="005F3326">
      <w:pPr>
        <w:pStyle w:val="FootnoteText"/>
        <w:ind w:firstLine="720"/>
      </w:pPr>
      <w:r>
        <w:t xml:space="preserve">   </w:t>
      </w:r>
      <w:hyperlink r:id="rId5" w:history="1">
        <w:r>
          <w:rPr>
            <w:rStyle w:val="Hyperlink"/>
          </w:rPr>
          <w:t>https://en.wikipedia.org/wiki/Energy_Future_Holdings</w:t>
        </w:r>
      </w:hyperlink>
      <w:r>
        <w:t>.</w:t>
      </w:r>
    </w:p>
  </w:footnote>
  <w:footnote w:id="16">
    <w:p w:rsidR="00222195" w:rsidRDefault="00222195" w:rsidP="00222195">
      <w:pPr>
        <w:pStyle w:val="FootnoteText"/>
        <w:ind w:firstLine="720"/>
      </w:pPr>
      <w:r>
        <w:rPr>
          <w:rStyle w:val="FootnoteReference"/>
        </w:rPr>
        <w:footnoteRef/>
      </w:r>
      <w:r>
        <w:t xml:space="preserve"> My workpapers include CEHE’s response in its entirety.</w:t>
      </w:r>
    </w:p>
  </w:footnote>
  <w:footnote w:id="17">
    <w:p w:rsidR="00222195" w:rsidRDefault="00222195" w:rsidP="007768DC">
      <w:pPr>
        <w:pStyle w:val="FootnoteText"/>
        <w:spacing w:before="120"/>
        <w:ind w:left="720" w:right="360"/>
        <w:jc w:val="both"/>
      </w:pPr>
      <w:r>
        <w:rPr>
          <w:rStyle w:val="FootnoteReference"/>
        </w:rPr>
        <w:footnoteRef/>
      </w:r>
      <w:r>
        <w:t xml:space="preserve"> </w:t>
      </w:r>
      <w:r w:rsidRPr="00364C18">
        <w:rPr>
          <w:i/>
        </w:rPr>
        <w:t>Application of CenterPoint Energy Houston Electric, LLC for a Financing Order</w:t>
      </w:r>
      <w:r>
        <w:t>, Docket No. 30485 (Order, March 16, 2005).</w:t>
      </w:r>
    </w:p>
  </w:footnote>
  <w:footnote w:id="18">
    <w:p w:rsidR="00222195" w:rsidRDefault="00222195" w:rsidP="007768DC">
      <w:pPr>
        <w:pStyle w:val="FootnoteText"/>
        <w:spacing w:before="120"/>
        <w:ind w:left="720" w:right="360"/>
        <w:jc w:val="both"/>
      </w:pPr>
      <w:r>
        <w:rPr>
          <w:rStyle w:val="FootnoteReference"/>
        </w:rPr>
        <w:footnoteRef/>
      </w:r>
      <w:r>
        <w:t xml:space="preserve"> </w:t>
      </w:r>
      <w:r w:rsidRPr="00364C18">
        <w:rPr>
          <w:i/>
        </w:rPr>
        <w:t>Application of CenterPoint Energy Houston Electric, LLC for a Financing Order</w:t>
      </w:r>
      <w:r>
        <w:t>, Docket No. 34448 (Order, September 18, 2007).</w:t>
      </w:r>
    </w:p>
  </w:footnote>
  <w:footnote w:id="19">
    <w:p w:rsidR="00222195" w:rsidRDefault="00222195" w:rsidP="007768DC">
      <w:pPr>
        <w:pStyle w:val="FootnoteText"/>
        <w:spacing w:before="120"/>
        <w:ind w:left="720" w:right="360"/>
        <w:jc w:val="both"/>
      </w:pPr>
      <w:r>
        <w:rPr>
          <w:rStyle w:val="FootnoteReference"/>
        </w:rPr>
        <w:footnoteRef/>
      </w:r>
      <w:r>
        <w:t xml:space="preserve"> </w:t>
      </w:r>
      <w:r w:rsidRPr="00364C18">
        <w:rPr>
          <w:i/>
        </w:rPr>
        <w:t>Application of CenterPoint Energy Houston Electric, LLC for a Financing Order</w:t>
      </w:r>
      <w:r>
        <w:t>, Docket No. 37200 (Order, August 27, 2009).</w:t>
      </w:r>
    </w:p>
  </w:footnote>
  <w:footnote w:id="20">
    <w:p w:rsidR="00222195" w:rsidRDefault="00222195" w:rsidP="007768DC">
      <w:pPr>
        <w:pStyle w:val="FootnoteText"/>
        <w:spacing w:before="120"/>
        <w:ind w:left="720" w:right="360"/>
        <w:jc w:val="both"/>
      </w:pPr>
      <w:r>
        <w:rPr>
          <w:rStyle w:val="FootnoteReference"/>
        </w:rPr>
        <w:footnoteRef/>
      </w:r>
      <w:r>
        <w:t xml:space="preserve"> </w:t>
      </w:r>
      <w:r w:rsidRPr="00364C18">
        <w:rPr>
          <w:i/>
        </w:rPr>
        <w:t>Application of CenterPoint Energy Houston Electric, LLC for a Financing Order</w:t>
      </w:r>
      <w:r>
        <w:t>, Docket No. 39809 (Order, October 27, 2011).</w:t>
      </w:r>
    </w:p>
  </w:footnote>
  <w:footnote w:id="21">
    <w:p w:rsidR="00222195" w:rsidRDefault="00222195" w:rsidP="008A2524">
      <w:pPr>
        <w:pStyle w:val="FootnoteText"/>
        <w:spacing w:after="120"/>
        <w:ind w:firstLine="720"/>
      </w:pPr>
      <w:r>
        <w:rPr>
          <w:rStyle w:val="FootnoteReference"/>
        </w:rPr>
        <w:footnoteRef/>
      </w:r>
      <w:r>
        <w:t xml:space="preserve"> See PURA § 39.262 (True-Up Proceeding).</w:t>
      </w:r>
    </w:p>
  </w:footnote>
  <w:footnote w:id="22">
    <w:p w:rsidR="00222195" w:rsidRDefault="00222195" w:rsidP="008A2524">
      <w:pPr>
        <w:pStyle w:val="FootnoteText"/>
        <w:spacing w:after="120"/>
        <w:ind w:firstLine="720"/>
      </w:pPr>
      <w:r>
        <w:rPr>
          <w:rStyle w:val="FootnoteReference"/>
        </w:rPr>
        <w:footnoteRef/>
      </w:r>
      <w:r>
        <w:t xml:space="preserve"> See PURA Subchapter F, Recovery of Stranded Costs Through Competition Transition Charge.</w:t>
      </w:r>
    </w:p>
  </w:footnote>
  <w:footnote w:id="23">
    <w:p w:rsidR="00222195" w:rsidRDefault="00222195" w:rsidP="00C549F3">
      <w:pPr>
        <w:pStyle w:val="FootnoteText"/>
        <w:ind w:left="720" w:right="360"/>
        <w:jc w:val="both"/>
      </w:pPr>
      <w:r>
        <w:rPr>
          <w:rStyle w:val="FootnoteReference"/>
        </w:rPr>
        <w:footnoteRef/>
      </w:r>
      <w:r>
        <w:t xml:space="preserve"> The initial net recoverable balance of the CTC was </w:t>
      </w:r>
      <w:r>
        <w:rPr>
          <w:rFonts w:ascii="Times New (W1)" w:hAnsi="Times New (W1)"/>
        </w:rPr>
        <w:t>approximately $570 million, reflecting</w:t>
      </w:r>
      <w:r>
        <w:t xml:space="preserve"> recoverable amounts of </w:t>
      </w:r>
      <w:r w:rsidRPr="0034321D">
        <w:rPr>
          <w:rFonts w:ascii="Times New (W1)" w:hAnsi="Times New (W1)"/>
        </w:rPr>
        <w:t>$1,13</w:t>
      </w:r>
      <w:r>
        <w:rPr>
          <w:rFonts w:ascii="Times New (W1)" w:hAnsi="Times New (W1)"/>
        </w:rPr>
        <w:t xml:space="preserve">6 million offset by </w:t>
      </w:r>
      <w:r w:rsidRPr="0034321D">
        <w:rPr>
          <w:rFonts w:ascii="Times New (W1)" w:hAnsi="Times New (W1)"/>
        </w:rPr>
        <w:t>$56</w:t>
      </w:r>
      <w:r>
        <w:rPr>
          <w:rFonts w:ascii="Times New (W1)" w:hAnsi="Times New (W1)"/>
        </w:rPr>
        <w:t xml:space="preserve">6 million of “negative” amounts, of which the $314 million amount of ADFIT benefits was a part. See </w:t>
      </w:r>
      <w:r>
        <w:rPr>
          <w:i/>
        </w:rPr>
        <w:t>Application of CenterPoint Energy Houston Electric, LLC for a Competition Transition Charge (CTC)</w:t>
      </w:r>
      <w:r>
        <w:t>, Docket No. 30706, Order at 33 and Findings of Fact 78 and 79 (July 14, 2005).</w:t>
      </w:r>
    </w:p>
  </w:footnote>
  <w:footnote w:id="24">
    <w:p w:rsidR="00222195" w:rsidRDefault="00222195" w:rsidP="00222195">
      <w:pPr>
        <w:pStyle w:val="FootnoteText"/>
        <w:ind w:firstLine="720"/>
      </w:pPr>
      <w:r>
        <w:rPr>
          <w:rStyle w:val="FootnoteReference"/>
        </w:rPr>
        <w:footnoteRef/>
      </w:r>
      <w:r>
        <w:t xml:space="preserve"> My workpapers include CEHE’s response to GCCC RFI 3-03.</w:t>
      </w:r>
    </w:p>
  </w:footnote>
  <w:footnote w:id="25">
    <w:p w:rsidR="00222195" w:rsidRDefault="00222195" w:rsidP="008A2524">
      <w:pPr>
        <w:pStyle w:val="FootnoteText"/>
        <w:ind w:left="720" w:right="360"/>
      </w:pPr>
      <w:r>
        <w:rPr>
          <w:rStyle w:val="FootnoteReference"/>
        </w:rPr>
        <w:footnoteRef/>
      </w:r>
      <w:r>
        <w:t xml:space="preserve"> </w:t>
      </w:r>
      <w:r w:rsidRPr="001540E3">
        <w:rPr>
          <w:i/>
        </w:rPr>
        <w:t>Proceeding to Investigate and Address the Effects of Tax Cuts and Jobs Act of 2017 on the Rates of Texas Investor-Owned Utility Companies</w:t>
      </w:r>
      <w:r>
        <w:t>, Project No. 47945.</w:t>
      </w:r>
    </w:p>
  </w:footnote>
  <w:footnote w:id="26">
    <w:p w:rsidR="00222195" w:rsidRDefault="00222195" w:rsidP="00C057E8">
      <w:pPr>
        <w:pStyle w:val="FootnoteText"/>
        <w:ind w:left="720" w:right="360"/>
        <w:jc w:val="both"/>
      </w:pPr>
      <w:r>
        <w:rPr>
          <w:rStyle w:val="FootnoteReference"/>
        </w:rPr>
        <w:footnoteRef/>
      </w:r>
      <w:r>
        <w:t xml:space="preserve"> I would note here that the amount of any Commission-ordered credit of EDIT balances would need to be grossed-up for tax effects.  Assuming a credit amount of $158 million and using the 21% corporate tax rate, the grossed-up amount would be calculated as $158 million divided by [1 minus 21%], or approximately $200 million.</w:t>
      </w:r>
    </w:p>
  </w:footnote>
  <w:footnote w:id="27">
    <w:p w:rsidR="00222195" w:rsidRDefault="00222195" w:rsidP="00D22C9D">
      <w:pPr>
        <w:pStyle w:val="FootnoteText"/>
        <w:ind w:left="720" w:right="360"/>
        <w:jc w:val="both"/>
      </w:pPr>
      <w:r>
        <w:rPr>
          <w:rStyle w:val="FootnoteReference"/>
        </w:rPr>
        <w:footnoteRef/>
      </w:r>
      <w:r>
        <w:t xml:space="preserve"> And as I noted previously, a refund amount of a $158 million, when grossed-up for taxes, becomes a refund amount of approximately $200 million.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195" w:rsidRDefault="00222195">
    <w:pPr>
      <w:rPr>
        <w:sz w:val="16"/>
        <w:szCs w:val="16"/>
      </w:rPr>
    </w:pPr>
    <w:r>
      <w:rPr>
        <w:noProof/>
      </w:rPr>
      <mc:AlternateContent>
        <mc:Choice Requires="wps">
          <w:drawing>
            <wp:anchor distT="0" distB="0" distL="63500" distR="63500" simplePos="0" relativeHeight="251657216" behindDoc="0" locked="0" layoutInCell="0" allowOverlap="1" wp14:anchorId="61637183" wp14:editId="3F0686C8">
              <wp:simplePos x="0" y="0"/>
              <wp:positionH relativeFrom="page">
                <wp:posOffset>412750</wp:posOffset>
              </wp:positionH>
              <wp:positionV relativeFrom="paragraph">
                <wp:posOffset>0</wp:posOffset>
              </wp:positionV>
              <wp:extent cx="6946900" cy="194945"/>
              <wp:effectExtent l="3175" t="0" r="3175" b="508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22195" w:rsidRDefault="00222195">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637183" id="_x0000_t202" coordsize="21600,21600" o:spt="202" path="m,l,21600r21600,l21600,xe">
              <v:stroke joinstyle="miter"/>
              <v:path gradientshapeok="t" o:connecttype="rect"/>
            </v:shapetype>
            <v:shape id="Text Box 1" o:spid="_x0000_s1026" type="#_x0000_t202" style="position:absolute;margin-left:32.5pt;margin-top:0;width:547pt;height:15.3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" o:allowincell="f" stroked="f">
              <v:fill opacity="0"/>
              <v:textbox inset="0,0,0,0">
                <w:txbxContent>
                  <w:p w:rsidR="00222195" w:rsidRDefault="00222195">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v:textbox>
              <w10:wrap type="square" anchorx="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195" w:rsidRDefault="00222195" w:rsidP="00DA20A8">
    <w:pPr>
      <w:pStyle w:val="Header"/>
      <w:pBdr>
        <w:bottom w:val="single" w:sz="6" w:space="1" w:color="auto"/>
      </w:pBdr>
      <w:rPr>
        <w:snapToGrid w:val="0"/>
      </w:rPr>
    </w:pPr>
    <w:r>
      <w:rPr>
        <w:snapToGrid w:val="0"/>
      </w:rPr>
      <w:t>PUC Docket No. 49421</w:t>
    </w:r>
    <w:r>
      <w:rPr>
        <w:snapToGrid w:val="0"/>
      </w:rPr>
      <w:tab/>
    </w:r>
    <w:r w:rsidRPr="00E21DEF">
      <w:rPr>
        <w:snapToGrid w:val="0"/>
      </w:rPr>
      <w:ptab w:relativeTo="margin" w:alignment="center" w:leader="none"/>
    </w:r>
    <w:r w:rsidRPr="00E21DEF">
      <w:rPr>
        <w:snapToGrid w:val="0"/>
      </w:rPr>
      <w:ptab w:relativeTo="margin" w:alignment="right" w:leader="none"/>
    </w:r>
    <w:r>
      <w:rPr>
        <w:snapToGrid w:val="0"/>
      </w:rPr>
      <w:t xml:space="preserve">Page </w:t>
    </w:r>
    <w:r w:rsidRPr="00E21DEF">
      <w:rPr>
        <w:snapToGrid w:val="0"/>
      </w:rPr>
      <w:fldChar w:fldCharType="begin"/>
    </w:r>
    <w:r w:rsidRPr="00E21DEF">
      <w:rPr>
        <w:snapToGrid w:val="0"/>
      </w:rPr>
      <w:instrText xml:space="preserve"> PAGE   \* MERGEFORMAT </w:instrText>
    </w:r>
    <w:r w:rsidRPr="00E21DEF">
      <w:rPr>
        <w:snapToGrid w:val="0"/>
      </w:rPr>
      <w:fldChar w:fldCharType="separate"/>
    </w:r>
    <w:r w:rsidR="00775B42">
      <w:rPr>
        <w:noProof/>
        <w:snapToGrid w:val="0"/>
      </w:rPr>
      <w:t>19</w:t>
    </w:r>
    <w:r w:rsidRPr="00E21DEF">
      <w:rPr>
        <w:noProof/>
        <w:snapToGrid w:val="0"/>
      </w:rPr>
      <w:fldChar w:fldCharType="end"/>
    </w:r>
    <w:r>
      <w:rPr>
        <w:noProof/>
        <w:snapToGrid w:val="0"/>
      </w:rPr>
      <w:t xml:space="preserve"> of </w:t>
    </w:r>
    <w:r w:rsidRPr="00A203DC">
      <w:rPr>
        <w:noProof/>
        <w:snapToGrid w:val="0"/>
      </w:rPr>
      <w:t>26</w:t>
    </w:r>
  </w:p>
  <w:p w:rsidR="00222195" w:rsidRPr="00E21DEF" w:rsidRDefault="00222195" w:rsidP="00DA20A8">
    <w:pPr>
      <w:pStyle w:val="Header"/>
      <w:rPr>
        <w:snapToGrid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B42" w:rsidRDefault="00775B4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195" w:rsidRDefault="00222195">
    <w:pPr>
      <w:pStyle w:val="Header"/>
      <w:framePr w:wrap="around" w:vAnchor="text" w:hAnchor="margin" w:xAlign="center" w:y="1"/>
      <w:rPr>
        <w:rStyle w:val="PageNumber"/>
      </w:rPr>
    </w:pPr>
  </w:p>
  <w:p w:rsidR="00222195" w:rsidRPr="006A6F62" w:rsidRDefault="00222195" w:rsidP="000A6F3A">
    <w:pPr>
      <w:pStyle w:val="Header"/>
      <w:tabs>
        <w:tab w:val="left" w:pos="5805"/>
      </w:tabs>
      <w:rPr>
        <w:b/>
        <w:sz w:val="24"/>
        <w:szCs w:val="24"/>
      </w:rPr>
    </w:pPr>
    <w:r>
      <w:rPr>
        <w:snapToGrid w:val="0"/>
      </w:rPr>
      <w:t>PUC Docket No. 49421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71B83"/>
    <w:multiLevelType w:val="hybridMultilevel"/>
    <w:tmpl w:val="3D543CFA"/>
    <w:lvl w:ilvl="0" w:tplc="6B92189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474F8"/>
    <w:multiLevelType w:val="singleLevel"/>
    <w:tmpl w:val="5274AE12"/>
    <w:lvl w:ilvl="0">
      <w:start w:val="1"/>
      <w:numFmt w:val="none"/>
      <w:pStyle w:val="Answer"/>
      <w:lvlText w:val="A."/>
      <w:lvlJc w:val="left"/>
      <w:pPr>
        <w:tabs>
          <w:tab w:val="num" w:pos="720"/>
        </w:tabs>
        <w:ind w:left="720" w:hanging="720"/>
      </w:pPr>
      <w:rPr>
        <w:rFonts w:ascii="Arial" w:hAnsi="Arial" w:hint="default"/>
        <w:b w:val="0"/>
        <w:i w:val="0"/>
        <w:sz w:val="22"/>
      </w:rPr>
    </w:lvl>
  </w:abstractNum>
  <w:abstractNum w:abstractNumId="2"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3" w15:restartNumberingAfterBreak="0">
    <w:nsid w:val="0EDC47E4"/>
    <w:multiLevelType w:val="hybridMultilevel"/>
    <w:tmpl w:val="4D0E6256"/>
    <w:lvl w:ilvl="0" w:tplc="14402692">
      <w:start w:val="5"/>
      <w:numFmt w:val="upperRoman"/>
      <w:lvlText w:val="%1."/>
      <w:lvlJc w:val="left"/>
      <w:pPr>
        <w:ind w:left="1440" w:hanging="72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C1624F"/>
    <w:multiLevelType w:val="hybridMultilevel"/>
    <w:tmpl w:val="E9782CE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C607C8"/>
    <w:multiLevelType w:val="hybridMultilevel"/>
    <w:tmpl w:val="5680C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B79F0"/>
    <w:multiLevelType w:val="hybridMultilevel"/>
    <w:tmpl w:val="B91CF1F2"/>
    <w:lvl w:ilvl="0" w:tplc="209A0B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C92E75"/>
    <w:multiLevelType w:val="hybridMultilevel"/>
    <w:tmpl w:val="5E3A30BC"/>
    <w:lvl w:ilvl="0" w:tplc="8ABAA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CF2799"/>
    <w:multiLevelType w:val="hybridMultilevel"/>
    <w:tmpl w:val="9808E4A2"/>
    <w:lvl w:ilvl="0" w:tplc="1720911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211145AC"/>
    <w:multiLevelType w:val="hybridMultilevel"/>
    <w:tmpl w:val="24900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729E4"/>
    <w:multiLevelType w:val="hybridMultilevel"/>
    <w:tmpl w:val="192C27C0"/>
    <w:lvl w:ilvl="0" w:tplc="2A30E0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AA71D4"/>
    <w:multiLevelType w:val="hybridMultilevel"/>
    <w:tmpl w:val="25F0BB82"/>
    <w:lvl w:ilvl="0" w:tplc="105E5EFC">
      <w:start w:val="6"/>
      <w:numFmt w:val="upperRoman"/>
      <w:lvlText w:val="%1."/>
      <w:lvlJc w:val="left"/>
      <w:pPr>
        <w:ind w:left="1440" w:hanging="72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CD2192"/>
    <w:multiLevelType w:val="hybridMultilevel"/>
    <w:tmpl w:val="1684186E"/>
    <w:lvl w:ilvl="0" w:tplc="5C208DF2">
      <w:start w:val="1"/>
      <w:numFmt w:val="upperRoman"/>
      <w:lvlText w:val="%1."/>
      <w:lvlJc w:val="left"/>
      <w:pPr>
        <w:ind w:left="1368" w:hanging="720"/>
      </w:pPr>
      <w:rPr>
        <w:rFonts w:hint="default"/>
      </w:r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15:restartNumberingAfterBreak="0">
    <w:nsid w:val="28D0737E"/>
    <w:multiLevelType w:val="hybridMultilevel"/>
    <w:tmpl w:val="8F309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885CF4"/>
    <w:multiLevelType w:val="hybridMultilevel"/>
    <w:tmpl w:val="29C240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B407FB8"/>
    <w:multiLevelType w:val="hybridMultilevel"/>
    <w:tmpl w:val="C3ECE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3C05"/>
    <w:multiLevelType w:val="hybridMultilevel"/>
    <w:tmpl w:val="8B90B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806BF4"/>
    <w:multiLevelType w:val="hybridMultilevel"/>
    <w:tmpl w:val="739215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E13B2"/>
    <w:multiLevelType w:val="hybridMultilevel"/>
    <w:tmpl w:val="7FCAD6B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41367AA0"/>
    <w:multiLevelType w:val="hybridMultilevel"/>
    <w:tmpl w:val="EE249CC8"/>
    <w:lvl w:ilvl="0" w:tplc="662E492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21" w15:restartNumberingAfterBreak="0">
    <w:nsid w:val="46EA4EA4"/>
    <w:multiLevelType w:val="hybridMultilevel"/>
    <w:tmpl w:val="DB9690A8"/>
    <w:lvl w:ilvl="0" w:tplc="D152B5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9B203FC"/>
    <w:multiLevelType w:val="hybridMultilevel"/>
    <w:tmpl w:val="CA24453A"/>
    <w:lvl w:ilvl="0" w:tplc="696E018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936C10"/>
    <w:multiLevelType w:val="hybridMultilevel"/>
    <w:tmpl w:val="74D6AA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4379D1"/>
    <w:multiLevelType w:val="hybridMultilevel"/>
    <w:tmpl w:val="65D4D2EE"/>
    <w:lvl w:ilvl="0" w:tplc="6EEE20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85B6080"/>
    <w:multiLevelType w:val="hybridMultilevel"/>
    <w:tmpl w:val="D8F26DAE"/>
    <w:lvl w:ilvl="0" w:tplc="8A2C4FB8">
      <w:start w:val="1"/>
      <w:numFmt w:val="lowerLetter"/>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C0048D5"/>
    <w:multiLevelType w:val="hybridMultilevel"/>
    <w:tmpl w:val="C66A7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FC6D5A"/>
    <w:multiLevelType w:val="hybridMultilevel"/>
    <w:tmpl w:val="E9782CE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FA33BEB"/>
    <w:multiLevelType w:val="hybridMultilevel"/>
    <w:tmpl w:val="5C36EEB4"/>
    <w:lvl w:ilvl="0" w:tplc="A052FA70">
      <w:start w:val="1"/>
      <w:numFmt w:val="decimal"/>
      <w:lvlText w:val="%1."/>
      <w:lvlJc w:val="left"/>
      <w:pPr>
        <w:ind w:left="1630" w:hanging="37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63CB1EBB"/>
    <w:multiLevelType w:val="hybridMultilevel"/>
    <w:tmpl w:val="2DCAFD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41F531E"/>
    <w:multiLevelType w:val="hybridMultilevel"/>
    <w:tmpl w:val="D866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55376"/>
    <w:multiLevelType w:val="singleLevel"/>
    <w:tmpl w:val="6AD03D2A"/>
    <w:lvl w:ilvl="0">
      <w:start w:val="1"/>
      <w:numFmt w:val="upperRoman"/>
      <w:pStyle w:val="Heading3"/>
      <w:lvlText w:val="%1."/>
      <w:lvlJc w:val="left"/>
      <w:pPr>
        <w:tabs>
          <w:tab w:val="num" w:pos="720"/>
        </w:tabs>
        <w:ind w:left="720" w:hanging="720"/>
      </w:pPr>
      <w:rPr>
        <w:rFonts w:hint="default"/>
      </w:rPr>
    </w:lvl>
  </w:abstractNum>
  <w:abstractNum w:abstractNumId="32" w15:restartNumberingAfterBreak="0">
    <w:nsid w:val="696E7AB7"/>
    <w:multiLevelType w:val="hybridMultilevel"/>
    <w:tmpl w:val="17E4C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82115"/>
    <w:multiLevelType w:val="hybridMultilevel"/>
    <w:tmpl w:val="6B96F9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3D5D18"/>
    <w:multiLevelType w:val="hybridMultilevel"/>
    <w:tmpl w:val="2C48462E"/>
    <w:lvl w:ilvl="0" w:tplc="D7D8F9B4">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6E9B7C4B"/>
    <w:multiLevelType w:val="hybridMultilevel"/>
    <w:tmpl w:val="5B240B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0E103F"/>
    <w:multiLevelType w:val="hybridMultilevel"/>
    <w:tmpl w:val="D9F6303E"/>
    <w:lvl w:ilvl="0" w:tplc="AE3E0E3E">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38" w15:restartNumberingAfterBreak="0">
    <w:nsid w:val="784A719F"/>
    <w:multiLevelType w:val="hybridMultilevel"/>
    <w:tmpl w:val="EEA6015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31"/>
  </w:num>
  <w:num w:numId="2">
    <w:abstractNumId w:val="37"/>
  </w:num>
  <w:num w:numId="3">
    <w:abstractNumId w:val="20"/>
  </w:num>
  <w:num w:numId="4">
    <w:abstractNumId w:val="2"/>
  </w:num>
  <w:num w:numId="5">
    <w:abstractNumId w:val="1"/>
  </w:num>
  <w:num w:numId="6">
    <w:abstractNumId w:val="23"/>
  </w:num>
  <w:num w:numId="7">
    <w:abstractNumId w:val="10"/>
  </w:num>
  <w:num w:numId="8">
    <w:abstractNumId w:val="14"/>
  </w:num>
  <w:num w:numId="9">
    <w:abstractNumId w:val="33"/>
  </w:num>
  <w:num w:numId="10">
    <w:abstractNumId w:val="18"/>
  </w:num>
  <w:num w:numId="11">
    <w:abstractNumId w:val="35"/>
  </w:num>
  <w:num w:numId="12">
    <w:abstractNumId w:val="12"/>
  </w:num>
  <w:num w:numId="13">
    <w:abstractNumId w:val="6"/>
  </w:num>
  <w:num w:numId="14">
    <w:abstractNumId w:val="7"/>
  </w:num>
  <w:num w:numId="15">
    <w:abstractNumId w:val="21"/>
  </w:num>
  <w:num w:numId="16">
    <w:abstractNumId w:val="25"/>
  </w:num>
  <w:num w:numId="17">
    <w:abstractNumId w:val="36"/>
  </w:num>
  <w:num w:numId="18">
    <w:abstractNumId w:val="34"/>
  </w:num>
  <w:num w:numId="19">
    <w:abstractNumId w:val="9"/>
  </w:num>
  <w:num w:numId="20">
    <w:abstractNumId w:val="26"/>
  </w:num>
  <w:num w:numId="21">
    <w:abstractNumId w:val="15"/>
  </w:num>
  <w:num w:numId="22">
    <w:abstractNumId w:val="16"/>
  </w:num>
  <w:num w:numId="23">
    <w:abstractNumId w:val="11"/>
  </w:num>
  <w:num w:numId="24">
    <w:abstractNumId w:val="3"/>
  </w:num>
  <w:num w:numId="25">
    <w:abstractNumId w:val="19"/>
  </w:num>
  <w:num w:numId="26">
    <w:abstractNumId w:val="8"/>
  </w:num>
  <w:num w:numId="27">
    <w:abstractNumId w:val="5"/>
  </w:num>
  <w:num w:numId="28">
    <w:abstractNumId w:val="30"/>
  </w:num>
  <w:num w:numId="29">
    <w:abstractNumId w:val="29"/>
  </w:num>
  <w:num w:numId="30">
    <w:abstractNumId w:val="32"/>
  </w:num>
  <w:num w:numId="31">
    <w:abstractNumId w:val="17"/>
  </w:num>
  <w:num w:numId="32">
    <w:abstractNumId w:val="27"/>
  </w:num>
  <w:num w:numId="33">
    <w:abstractNumId w:val="0"/>
  </w:num>
  <w:num w:numId="34">
    <w:abstractNumId w:val="22"/>
  </w:num>
  <w:num w:numId="35">
    <w:abstractNumId w:val="13"/>
  </w:num>
  <w:num w:numId="36">
    <w:abstractNumId w:val="4"/>
  </w:num>
  <w:num w:numId="37">
    <w:abstractNumId w:val="24"/>
  </w:num>
  <w:num w:numId="38">
    <w:abstractNumId w:val="28"/>
  </w:num>
  <w:num w:numId="39">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hideGrammaticalErrors/>
  <w:activeWritingStyle w:appName="MSWord" w:lang="en-US"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4C"/>
    <w:rsid w:val="00001066"/>
    <w:rsid w:val="00002357"/>
    <w:rsid w:val="0000297C"/>
    <w:rsid w:val="00002D56"/>
    <w:rsid w:val="000035B7"/>
    <w:rsid w:val="00004648"/>
    <w:rsid w:val="000052BC"/>
    <w:rsid w:val="00005F15"/>
    <w:rsid w:val="0000662C"/>
    <w:rsid w:val="0000706B"/>
    <w:rsid w:val="00007BA0"/>
    <w:rsid w:val="00010D7D"/>
    <w:rsid w:val="0001154A"/>
    <w:rsid w:val="000118A3"/>
    <w:rsid w:val="00011F88"/>
    <w:rsid w:val="000123BA"/>
    <w:rsid w:val="00013335"/>
    <w:rsid w:val="000137D0"/>
    <w:rsid w:val="00013BBD"/>
    <w:rsid w:val="00014433"/>
    <w:rsid w:val="000146C8"/>
    <w:rsid w:val="00014856"/>
    <w:rsid w:val="00014D08"/>
    <w:rsid w:val="00014D3D"/>
    <w:rsid w:val="00014F3D"/>
    <w:rsid w:val="00016100"/>
    <w:rsid w:val="00016DDA"/>
    <w:rsid w:val="00017AD5"/>
    <w:rsid w:val="00017CAD"/>
    <w:rsid w:val="0002042C"/>
    <w:rsid w:val="000208F0"/>
    <w:rsid w:val="00020DF0"/>
    <w:rsid w:val="00022399"/>
    <w:rsid w:val="000224EB"/>
    <w:rsid w:val="00023872"/>
    <w:rsid w:val="0002392A"/>
    <w:rsid w:val="00023A64"/>
    <w:rsid w:val="000242E3"/>
    <w:rsid w:val="00024707"/>
    <w:rsid w:val="00024C4B"/>
    <w:rsid w:val="00024DA2"/>
    <w:rsid w:val="00024E81"/>
    <w:rsid w:val="00025337"/>
    <w:rsid w:val="000259FB"/>
    <w:rsid w:val="00026478"/>
    <w:rsid w:val="000265B5"/>
    <w:rsid w:val="000267C6"/>
    <w:rsid w:val="000267F9"/>
    <w:rsid w:val="000306A5"/>
    <w:rsid w:val="000320CF"/>
    <w:rsid w:val="000328FC"/>
    <w:rsid w:val="00032FB3"/>
    <w:rsid w:val="0003391E"/>
    <w:rsid w:val="000341A7"/>
    <w:rsid w:val="000346DE"/>
    <w:rsid w:val="0003499C"/>
    <w:rsid w:val="00034A91"/>
    <w:rsid w:val="000351B8"/>
    <w:rsid w:val="00035707"/>
    <w:rsid w:val="00035D73"/>
    <w:rsid w:val="000364D0"/>
    <w:rsid w:val="00036E50"/>
    <w:rsid w:val="000371C7"/>
    <w:rsid w:val="000378A4"/>
    <w:rsid w:val="00037EE4"/>
    <w:rsid w:val="0004069F"/>
    <w:rsid w:val="00040A41"/>
    <w:rsid w:val="00040F5B"/>
    <w:rsid w:val="0004103A"/>
    <w:rsid w:val="000416CD"/>
    <w:rsid w:val="00041C9A"/>
    <w:rsid w:val="000425F2"/>
    <w:rsid w:val="000429B2"/>
    <w:rsid w:val="00042BB6"/>
    <w:rsid w:val="00043777"/>
    <w:rsid w:val="000448BE"/>
    <w:rsid w:val="00044FC8"/>
    <w:rsid w:val="0004515F"/>
    <w:rsid w:val="000452FE"/>
    <w:rsid w:val="000455E1"/>
    <w:rsid w:val="00045F5A"/>
    <w:rsid w:val="000464BC"/>
    <w:rsid w:val="0004674A"/>
    <w:rsid w:val="00046C81"/>
    <w:rsid w:val="000472F3"/>
    <w:rsid w:val="000511AC"/>
    <w:rsid w:val="000516B8"/>
    <w:rsid w:val="000525C4"/>
    <w:rsid w:val="00052718"/>
    <w:rsid w:val="000530E3"/>
    <w:rsid w:val="00053BAB"/>
    <w:rsid w:val="0005491E"/>
    <w:rsid w:val="00054EC4"/>
    <w:rsid w:val="00054FD0"/>
    <w:rsid w:val="0005598E"/>
    <w:rsid w:val="00055B51"/>
    <w:rsid w:val="00056450"/>
    <w:rsid w:val="00056636"/>
    <w:rsid w:val="00056926"/>
    <w:rsid w:val="00056DF9"/>
    <w:rsid w:val="00056E85"/>
    <w:rsid w:val="0005792D"/>
    <w:rsid w:val="00057983"/>
    <w:rsid w:val="000579E5"/>
    <w:rsid w:val="0006107F"/>
    <w:rsid w:val="00061309"/>
    <w:rsid w:val="00061935"/>
    <w:rsid w:val="00061A72"/>
    <w:rsid w:val="000628B2"/>
    <w:rsid w:val="00063A5C"/>
    <w:rsid w:val="000642D3"/>
    <w:rsid w:val="00064843"/>
    <w:rsid w:val="000665F9"/>
    <w:rsid w:val="000671D5"/>
    <w:rsid w:val="00067639"/>
    <w:rsid w:val="000677BF"/>
    <w:rsid w:val="0006787C"/>
    <w:rsid w:val="00067AB7"/>
    <w:rsid w:val="00067B35"/>
    <w:rsid w:val="00067C8C"/>
    <w:rsid w:val="0007053C"/>
    <w:rsid w:val="00070F55"/>
    <w:rsid w:val="00071C9F"/>
    <w:rsid w:val="00071D47"/>
    <w:rsid w:val="00073F3A"/>
    <w:rsid w:val="000750B2"/>
    <w:rsid w:val="000754AD"/>
    <w:rsid w:val="00076026"/>
    <w:rsid w:val="00076239"/>
    <w:rsid w:val="000774B0"/>
    <w:rsid w:val="000807D8"/>
    <w:rsid w:val="00080DB9"/>
    <w:rsid w:val="00080F33"/>
    <w:rsid w:val="00081747"/>
    <w:rsid w:val="00081A76"/>
    <w:rsid w:val="00081AE7"/>
    <w:rsid w:val="00082362"/>
    <w:rsid w:val="00082537"/>
    <w:rsid w:val="00082558"/>
    <w:rsid w:val="00082686"/>
    <w:rsid w:val="00082ABC"/>
    <w:rsid w:val="00083321"/>
    <w:rsid w:val="0008382B"/>
    <w:rsid w:val="0008394A"/>
    <w:rsid w:val="000839E8"/>
    <w:rsid w:val="00083EFC"/>
    <w:rsid w:val="00084333"/>
    <w:rsid w:val="00084C24"/>
    <w:rsid w:val="00084FD5"/>
    <w:rsid w:val="000852BC"/>
    <w:rsid w:val="00085305"/>
    <w:rsid w:val="00085393"/>
    <w:rsid w:val="00085617"/>
    <w:rsid w:val="00086675"/>
    <w:rsid w:val="00087318"/>
    <w:rsid w:val="000877A3"/>
    <w:rsid w:val="00087CA7"/>
    <w:rsid w:val="00090813"/>
    <w:rsid w:val="00090943"/>
    <w:rsid w:val="00090D3E"/>
    <w:rsid w:val="00091FBB"/>
    <w:rsid w:val="0009370E"/>
    <w:rsid w:val="0009431D"/>
    <w:rsid w:val="000949F4"/>
    <w:rsid w:val="0009502F"/>
    <w:rsid w:val="00095C44"/>
    <w:rsid w:val="000961CC"/>
    <w:rsid w:val="000962AB"/>
    <w:rsid w:val="00096E29"/>
    <w:rsid w:val="00096F93"/>
    <w:rsid w:val="000973F0"/>
    <w:rsid w:val="0009785A"/>
    <w:rsid w:val="00097ADD"/>
    <w:rsid w:val="00097E70"/>
    <w:rsid w:val="000A07AB"/>
    <w:rsid w:val="000A0F79"/>
    <w:rsid w:val="000A1777"/>
    <w:rsid w:val="000A1830"/>
    <w:rsid w:val="000A183E"/>
    <w:rsid w:val="000A2E3E"/>
    <w:rsid w:val="000A2EB4"/>
    <w:rsid w:val="000A331C"/>
    <w:rsid w:val="000A34BC"/>
    <w:rsid w:val="000A354B"/>
    <w:rsid w:val="000A35F2"/>
    <w:rsid w:val="000A4900"/>
    <w:rsid w:val="000A5631"/>
    <w:rsid w:val="000A6492"/>
    <w:rsid w:val="000A6577"/>
    <w:rsid w:val="000A68B0"/>
    <w:rsid w:val="000A6C44"/>
    <w:rsid w:val="000A6F3A"/>
    <w:rsid w:val="000A72A3"/>
    <w:rsid w:val="000A75F8"/>
    <w:rsid w:val="000A768F"/>
    <w:rsid w:val="000A787D"/>
    <w:rsid w:val="000A7DA1"/>
    <w:rsid w:val="000B01BB"/>
    <w:rsid w:val="000B0877"/>
    <w:rsid w:val="000B0881"/>
    <w:rsid w:val="000B12A5"/>
    <w:rsid w:val="000B15DD"/>
    <w:rsid w:val="000B167A"/>
    <w:rsid w:val="000B190C"/>
    <w:rsid w:val="000B2DEA"/>
    <w:rsid w:val="000B3ABD"/>
    <w:rsid w:val="000B4355"/>
    <w:rsid w:val="000B49FA"/>
    <w:rsid w:val="000B4F28"/>
    <w:rsid w:val="000B5590"/>
    <w:rsid w:val="000B5A6B"/>
    <w:rsid w:val="000B5DF8"/>
    <w:rsid w:val="000B6DCA"/>
    <w:rsid w:val="000B79F5"/>
    <w:rsid w:val="000C0148"/>
    <w:rsid w:val="000C04DF"/>
    <w:rsid w:val="000C12E8"/>
    <w:rsid w:val="000C2AC8"/>
    <w:rsid w:val="000C380B"/>
    <w:rsid w:val="000C41CC"/>
    <w:rsid w:val="000C41FF"/>
    <w:rsid w:val="000C4388"/>
    <w:rsid w:val="000C443B"/>
    <w:rsid w:val="000C4E78"/>
    <w:rsid w:val="000C5114"/>
    <w:rsid w:val="000C581E"/>
    <w:rsid w:val="000C5A51"/>
    <w:rsid w:val="000C670B"/>
    <w:rsid w:val="000C788E"/>
    <w:rsid w:val="000D0074"/>
    <w:rsid w:val="000D02F5"/>
    <w:rsid w:val="000D08FE"/>
    <w:rsid w:val="000D1D1D"/>
    <w:rsid w:val="000D2686"/>
    <w:rsid w:val="000D28E9"/>
    <w:rsid w:val="000D2A3E"/>
    <w:rsid w:val="000D2B08"/>
    <w:rsid w:val="000D3413"/>
    <w:rsid w:val="000D34FF"/>
    <w:rsid w:val="000D3FEC"/>
    <w:rsid w:val="000D4EE1"/>
    <w:rsid w:val="000D4F5A"/>
    <w:rsid w:val="000D515A"/>
    <w:rsid w:val="000D58BD"/>
    <w:rsid w:val="000D6391"/>
    <w:rsid w:val="000D695C"/>
    <w:rsid w:val="000D6D80"/>
    <w:rsid w:val="000D7433"/>
    <w:rsid w:val="000D7CDE"/>
    <w:rsid w:val="000E0CC6"/>
    <w:rsid w:val="000E1B2E"/>
    <w:rsid w:val="000E1F52"/>
    <w:rsid w:val="000E2405"/>
    <w:rsid w:val="000E297F"/>
    <w:rsid w:val="000E4550"/>
    <w:rsid w:val="000E5E44"/>
    <w:rsid w:val="000E5F98"/>
    <w:rsid w:val="000E69E4"/>
    <w:rsid w:val="000E6E53"/>
    <w:rsid w:val="000F08A8"/>
    <w:rsid w:val="000F106D"/>
    <w:rsid w:val="000F1A0C"/>
    <w:rsid w:val="000F1D01"/>
    <w:rsid w:val="000F21D7"/>
    <w:rsid w:val="000F267A"/>
    <w:rsid w:val="000F267C"/>
    <w:rsid w:val="000F2F17"/>
    <w:rsid w:val="000F3041"/>
    <w:rsid w:val="000F38D6"/>
    <w:rsid w:val="000F3BE9"/>
    <w:rsid w:val="000F4458"/>
    <w:rsid w:val="000F467E"/>
    <w:rsid w:val="000F4EFA"/>
    <w:rsid w:val="000F529E"/>
    <w:rsid w:val="000F5F6F"/>
    <w:rsid w:val="000F6215"/>
    <w:rsid w:val="000F749E"/>
    <w:rsid w:val="000F7AC8"/>
    <w:rsid w:val="000F7BA7"/>
    <w:rsid w:val="000F7EAD"/>
    <w:rsid w:val="0010009B"/>
    <w:rsid w:val="00101869"/>
    <w:rsid w:val="001018E2"/>
    <w:rsid w:val="00101B02"/>
    <w:rsid w:val="00101B63"/>
    <w:rsid w:val="001022E4"/>
    <w:rsid w:val="00102F07"/>
    <w:rsid w:val="00103159"/>
    <w:rsid w:val="00103B42"/>
    <w:rsid w:val="00105401"/>
    <w:rsid w:val="00106155"/>
    <w:rsid w:val="001062D9"/>
    <w:rsid w:val="00106646"/>
    <w:rsid w:val="00106F87"/>
    <w:rsid w:val="0010730E"/>
    <w:rsid w:val="00107405"/>
    <w:rsid w:val="001111B5"/>
    <w:rsid w:val="00112B04"/>
    <w:rsid w:val="00112B8F"/>
    <w:rsid w:val="00113684"/>
    <w:rsid w:val="0011430E"/>
    <w:rsid w:val="00114411"/>
    <w:rsid w:val="00114DE6"/>
    <w:rsid w:val="00115A19"/>
    <w:rsid w:val="00115C1C"/>
    <w:rsid w:val="00116410"/>
    <w:rsid w:val="00116C15"/>
    <w:rsid w:val="00116F77"/>
    <w:rsid w:val="00116FF1"/>
    <w:rsid w:val="00117EE9"/>
    <w:rsid w:val="00121167"/>
    <w:rsid w:val="001214C8"/>
    <w:rsid w:val="00122A96"/>
    <w:rsid w:val="00122BA9"/>
    <w:rsid w:val="00123388"/>
    <w:rsid w:val="00124B46"/>
    <w:rsid w:val="00124EDF"/>
    <w:rsid w:val="0012523F"/>
    <w:rsid w:val="001257A4"/>
    <w:rsid w:val="0012586B"/>
    <w:rsid w:val="0012675C"/>
    <w:rsid w:val="00130D2A"/>
    <w:rsid w:val="00130FF7"/>
    <w:rsid w:val="001316A6"/>
    <w:rsid w:val="00132151"/>
    <w:rsid w:val="0013435D"/>
    <w:rsid w:val="0013497F"/>
    <w:rsid w:val="001352E5"/>
    <w:rsid w:val="00135A49"/>
    <w:rsid w:val="00135FF9"/>
    <w:rsid w:val="00136186"/>
    <w:rsid w:val="00136635"/>
    <w:rsid w:val="00136904"/>
    <w:rsid w:val="00137AE2"/>
    <w:rsid w:val="00137E96"/>
    <w:rsid w:val="00137F98"/>
    <w:rsid w:val="00141E3D"/>
    <w:rsid w:val="00141F59"/>
    <w:rsid w:val="00142149"/>
    <w:rsid w:val="00142F80"/>
    <w:rsid w:val="00145243"/>
    <w:rsid w:val="001452B9"/>
    <w:rsid w:val="00145C9E"/>
    <w:rsid w:val="0014602D"/>
    <w:rsid w:val="001463DB"/>
    <w:rsid w:val="0014675E"/>
    <w:rsid w:val="00146A2F"/>
    <w:rsid w:val="00146CD9"/>
    <w:rsid w:val="001477FE"/>
    <w:rsid w:val="00150496"/>
    <w:rsid w:val="001508A5"/>
    <w:rsid w:val="00150F01"/>
    <w:rsid w:val="00152FC2"/>
    <w:rsid w:val="00153851"/>
    <w:rsid w:val="00153A4F"/>
    <w:rsid w:val="001540E3"/>
    <w:rsid w:val="00154260"/>
    <w:rsid w:val="00155258"/>
    <w:rsid w:val="001556A9"/>
    <w:rsid w:val="001559DA"/>
    <w:rsid w:val="00155BF7"/>
    <w:rsid w:val="00155E6A"/>
    <w:rsid w:val="00156032"/>
    <w:rsid w:val="00156432"/>
    <w:rsid w:val="00156FD1"/>
    <w:rsid w:val="001577E9"/>
    <w:rsid w:val="00160A7D"/>
    <w:rsid w:val="0016166B"/>
    <w:rsid w:val="0016183F"/>
    <w:rsid w:val="0016306F"/>
    <w:rsid w:val="001640E1"/>
    <w:rsid w:val="00165ABB"/>
    <w:rsid w:val="00166122"/>
    <w:rsid w:val="00166764"/>
    <w:rsid w:val="00166E6C"/>
    <w:rsid w:val="00167253"/>
    <w:rsid w:val="001674AE"/>
    <w:rsid w:val="00167AE2"/>
    <w:rsid w:val="001700D0"/>
    <w:rsid w:val="00170206"/>
    <w:rsid w:val="00170287"/>
    <w:rsid w:val="0017269F"/>
    <w:rsid w:val="00172738"/>
    <w:rsid w:val="001728EC"/>
    <w:rsid w:val="00172947"/>
    <w:rsid w:val="00172D62"/>
    <w:rsid w:val="0017354A"/>
    <w:rsid w:val="00173A52"/>
    <w:rsid w:val="00173BC0"/>
    <w:rsid w:val="00173EEA"/>
    <w:rsid w:val="00173FE5"/>
    <w:rsid w:val="0017418F"/>
    <w:rsid w:val="00174344"/>
    <w:rsid w:val="001748D3"/>
    <w:rsid w:val="00174B5E"/>
    <w:rsid w:val="00176128"/>
    <w:rsid w:val="00176733"/>
    <w:rsid w:val="00176886"/>
    <w:rsid w:val="001768E7"/>
    <w:rsid w:val="0017747D"/>
    <w:rsid w:val="00180340"/>
    <w:rsid w:val="00180DA8"/>
    <w:rsid w:val="00181D92"/>
    <w:rsid w:val="00182CE3"/>
    <w:rsid w:val="00183A46"/>
    <w:rsid w:val="00184E1F"/>
    <w:rsid w:val="0018671B"/>
    <w:rsid w:val="001868AD"/>
    <w:rsid w:val="00186DEC"/>
    <w:rsid w:val="00187FA5"/>
    <w:rsid w:val="0019093A"/>
    <w:rsid w:val="00191892"/>
    <w:rsid w:val="00191926"/>
    <w:rsid w:val="00192A43"/>
    <w:rsid w:val="001933FB"/>
    <w:rsid w:val="00193DFF"/>
    <w:rsid w:val="0019414B"/>
    <w:rsid w:val="00194A31"/>
    <w:rsid w:val="0019502C"/>
    <w:rsid w:val="00195545"/>
    <w:rsid w:val="001958D5"/>
    <w:rsid w:val="0019596E"/>
    <w:rsid w:val="00195AE6"/>
    <w:rsid w:val="001964F4"/>
    <w:rsid w:val="00196605"/>
    <w:rsid w:val="00196F80"/>
    <w:rsid w:val="00197CEC"/>
    <w:rsid w:val="001A021E"/>
    <w:rsid w:val="001A03E0"/>
    <w:rsid w:val="001A0C08"/>
    <w:rsid w:val="001A1828"/>
    <w:rsid w:val="001A1BE9"/>
    <w:rsid w:val="001A1DC6"/>
    <w:rsid w:val="001A213C"/>
    <w:rsid w:val="001A2238"/>
    <w:rsid w:val="001A2980"/>
    <w:rsid w:val="001A3288"/>
    <w:rsid w:val="001A3604"/>
    <w:rsid w:val="001A4377"/>
    <w:rsid w:val="001A43B2"/>
    <w:rsid w:val="001A4D66"/>
    <w:rsid w:val="001A631C"/>
    <w:rsid w:val="001A663D"/>
    <w:rsid w:val="001A7052"/>
    <w:rsid w:val="001A726D"/>
    <w:rsid w:val="001A7D11"/>
    <w:rsid w:val="001B075A"/>
    <w:rsid w:val="001B0CCD"/>
    <w:rsid w:val="001B144D"/>
    <w:rsid w:val="001B1738"/>
    <w:rsid w:val="001B17BA"/>
    <w:rsid w:val="001B24BE"/>
    <w:rsid w:val="001B33D4"/>
    <w:rsid w:val="001B38F2"/>
    <w:rsid w:val="001B3C13"/>
    <w:rsid w:val="001B43E3"/>
    <w:rsid w:val="001B4988"/>
    <w:rsid w:val="001B5229"/>
    <w:rsid w:val="001B5577"/>
    <w:rsid w:val="001B5BEE"/>
    <w:rsid w:val="001B5F4B"/>
    <w:rsid w:val="001B63BC"/>
    <w:rsid w:val="001B6F38"/>
    <w:rsid w:val="001C0639"/>
    <w:rsid w:val="001C0AA5"/>
    <w:rsid w:val="001C0AAF"/>
    <w:rsid w:val="001C21E6"/>
    <w:rsid w:val="001C2EE5"/>
    <w:rsid w:val="001C34BE"/>
    <w:rsid w:val="001C395F"/>
    <w:rsid w:val="001C49DB"/>
    <w:rsid w:val="001C5037"/>
    <w:rsid w:val="001C52CF"/>
    <w:rsid w:val="001C5776"/>
    <w:rsid w:val="001C79D2"/>
    <w:rsid w:val="001C79E6"/>
    <w:rsid w:val="001C7AE0"/>
    <w:rsid w:val="001D12F4"/>
    <w:rsid w:val="001D1BC5"/>
    <w:rsid w:val="001D2921"/>
    <w:rsid w:val="001D29BE"/>
    <w:rsid w:val="001D3828"/>
    <w:rsid w:val="001D3AEE"/>
    <w:rsid w:val="001D3B15"/>
    <w:rsid w:val="001D3C8A"/>
    <w:rsid w:val="001D3E6A"/>
    <w:rsid w:val="001D3EB0"/>
    <w:rsid w:val="001D3FFC"/>
    <w:rsid w:val="001D41B7"/>
    <w:rsid w:val="001D5D32"/>
    <w:rsid w:val="001D5FDB"/>
    <w:rsid w:val="001D6286"/>
    <w:rsid w:val="001D6650"/>
    <w:rsid w:val="001D6E34"/>
    <w:rsid w:val="001D711F"/>
    <w:rsid w:val="001D784E"/>
    <w:rsid w:val="001D7C33"/>
    <w:rsid w:val="001D7F44"/>
    <w:rsid w:val="001E028B"/>
    <w:rsid w:val="001E0783"/>
    <w:rsid w:val="001E1899"/>
    <w:rsid w:val="001E2047"/>
    <w:rsid w:val="001E28A9"/>
    <w:rsid w:val="001E2C11"/>
    <w:rsid w:val="001E44E1"/>
    <w:rsid w:val="001E4E9F"/>
    <w:rsid w:val="001E51CB"/>
    <w:rsid w:val="001E52C9"/>
    <w:rsid w:val="001E534E"/>
    <w:rsid w:val="001E5420"/>
    <w:rsid w:val="001E6AF6"/>
    <w:rsid w:val="001E6D1F"/>
    <w:rsid w:val="001E7130"/>
    <w:rsid w:val="001E7F92"/>
    <w:rsid w:val="001F005F"/>
    <w:rsid w:val="001F0FFA"/>
    <w:rsid w:val="001F1165"/>
    <w:rsid w:val="001F1265"/>
    <w:rsid w:val="001F268D"/>
    <w:rsid w:val="001F2A3E"/>
    <w:rsid w:val="001F3584"/>
    <w:rsid w:val="001F3652"/>
    <w:rsid w:val="001F45EE"/>
    <w:rsid w:val="001F5347"/>
    <w:rsid w:val="001F577F"/>
    <w:rsid w:val="001F59C2"/>
    <w:rsid w:val="001F67D5"/>
    <w:rsid w:val="001F7195"/>
    <w:rsid w:val="001F7570"/>
    <w:rsid w:val="001F7C67"/>
    <w:rsid w:val="002001A6"/>
    <w:rsid w:val="002002DD"/>
    <w:rsid w:val="00200906"/>
    <w:rsid w:val="00200A1A"/>
    <w:rsid w:val="00200FD4"/>
    <w:rsid w:val="00201718"/>
    <w:rsid w:val="002017FE"/>
    <w:rsid w:val="00203980"/>
    <w:rsid w:val="00203AC4"/>
    <w:rsid w:val="00203F98"/>
    <w:rsid w:val="0020410B"/>
    <w:rsid w:val="00205ACD"/>
    <w:rsid w:val="00205BB0"/>
    <w:rsid w:val="00205D6C"/>
    <w:rsid w:val="002060E1"/>
    <w:rsid w:val="00206224"/>
    <w:rsid w:val="00206C40"/>
    <w:rsid w:val="00207123"/>
    <w:rsid w:val="00207CF1"/>
    <w:rsid w:val="00210237"/>
    <w:rsid w:val="00210421"/>
    <w:rsid w:val="0021159F"/>
    <w:rsid w:val="002116FC"/>
    <w:rsid w:val="0021208E"/>
    <w:rsid w:val="002121C8"/>
    <w:rsid w:val="002125B2"/>
    <w:rsid w:val="002125E8"/>
    <w:rsid w:val="00213237"/>
    <w:rsid w:val="002146E7"/>
    <w:rsid w:val="00214ACD"/>
    <w:rsid w:val="00214C65"/>
    <w:rsid w:val="002156CC"/>
    <w:rsid w:val="00216343"/>
    <w:rsid w:val="00216672"/>
    <w:rsid w:val="00216718"/>
    <w:rsid w:val="00216A62"/>
    <w:rsid w:val="00216FD7"/>
    <w:rsid w:val="002171DE"/>
    <w:rsid w:val="00217B5B"/>
    <w:rsid w:val="00217F19"/>
    <w:rsid w:val="002202E8"/>
    <w:rsid w:val="002205A9"/>
    <w:rsid w:val="00220C43"/>
    <w:rsid w:val="00220F38"/>
    <w:rsid w:val="00222195"/>
    <w:rsid w:val="00222BED"/>
    <w:rsid w:val="0022321B"/>
    <w:rsid w:val="00223342"/>
    <w:rsid w:val="00223E0F"/>
    <w:rsid w:val="0022452E"/>
    <w:rsid w:val="002251AD"/>
    <w:rsid w:val="00225ADC"/>
    <w:rsid w:val="00225EBF"/>
    <w:rsid w:val="002269B2"/>
    <w:rsid w:val="00226A65"/>
    <w:rsid w:val="00226C81"/>
    <w:rsid w:val="00227259"/>
    <w:rsid w:val="00227B09"/>
    <w:rsid w:val="00227C07"/>
    <w:rsid w:val="00227FA2"/>
    <w:rsid w:val="002305D0"/>
    <w:rsid w:val="002306D4"/>
    <w:rsid w:val="002307B1"/>
    <w:rsid w:val="00230E83"/>
    <w:rsid w:val="002321B8"/>
    <w:rsid w:val="002322B9"/>
    <w:rsid w:val="0023295F"/>
    <w:rsid w:val="00232C84"/>
    <w:rsid w:val="00234620"/>
    <w:rsid w:val="00234CDC"/>
    <w:rsid w:val="0023506E"/>
    <w:rsid w:val="002361C4"/>
    <w:rsid w:val="0023665C"/>
    <w:rsid w:val="00236CDF"/>
    <w:rsid w:val="00236F72"/>
    <w:rsid w:val="00237D2A"/>
    <w:rsid w:val="00237D51"/>
    <w:rsid w:val="0024117F"/>
    <w:rsid w:val="00241309"/>
    <w:rsid w:val="0024197E"/>
    <w:rsid w:val="00241C1E"/>
    <w:rsid w:val="0024205E"/>
    <w:rsid w:val="00242D3A"/>
    <w:rsid w:val="00245048"/>
    <w:rsid w:val="00245EC5"/>
    <w:rsid w:val="00246C63"/>
    <w:rsid w:val="0024727F"/>
    <w:rsid w:val="00247E64"/>
    <w:rsid w:val="00250DFA"/>
    <w:rsid w:val="0025137B"/>
    <w:rsid w:val="00251B01"/>
    <w:rsid w:val="00252AFA"/>
    <w:rsid w:val="00253036"/>
    <w:rsid w:val="0025329A"/>
    <w:rsid w:val="00253C38"/>
    <w:rsid w:val="00254913"/>
    <w:rsid w:val="00255C03"/>
    <w:rsid w:val="002564CE"/>
    <w:rsid w:val="002568C5"/>
    <w:rsid w:val="00257215"/>
    <w:rsid w:val="00260C93"/>
    <w:rsid w:val="0026163A"/>
    <w:rsid w:val="00261BB8"/>
    <w:rsid w:val="00261D5C"/>
    <w:rsid w:val="0026218B"/>
    <w:rsid w:val="00262978"/>
    <w:rsid w:val="0026363B"/>
    <w:rsid w:val="00263B45"/>
    <w:rsid w:val="00263C81"/>
    <w:rsid w:val="0026413A"/>
    <w:rsid w:val="00264278"/>
    <w:rsid w:val="0026495F"/>
    <w:rsid w:val="00264E84"/>
    <w:rsid w:val="0026541F"/>
    <w:rsid w:val="0026570A"/>
    <w:rsid w:val="0026696E"/>
    <w:rsid w:val="00266A4A"/>
    <w:rsid w:val="002672AC"/>
    <w:rsid w:val="00267C69"/>
    <w:rsid w:val="00270578"/>
    <w:rsid w:val="0027067C"/>
    <w:rsid w:val="002708B5"/>
    <w:rsid w:val="002709AC"/>
    <w:rsid w:val="00271732"/>
    <w:rsid w:val="00272D1F"/>
    <w:rsid w:val="00273622"/>
    <w:rsid w:val="00274097"/>
    <w:rsid w:val="0027479A"/>
    <w:rsid w:val="00274EC6"/>
    <w:rsid w:val="00274FA5"/>
    <w:rsid w:val="00275274"/>
    <w:rsid w:val="00275458"/>
    <w:rsid w:val="00275621"/>
    <w:rsid w:val="00275E9D"/>
    <w:rsid w:val="00276444"/>
    <w:rsid w:val="00277381"/>
    <w:rsid w:val="00277C48"/>
    <w:rsid w:val="002800F2"/>
    <w:rsid w:val="0028020F"/>
    <w:rsid w:val="00280883"/>
    <w:rsid w:val="00280C9B"/>
    <w:rsid w:val="00280F82"/>
    <w:rsid w:val="002812C5"/>
    <w:rsid w:val="002823BA"/>
    <w:rsid w:val="00282837"/>
    <w:rsid w:val="002828C3"/>
    <w:rsid w:val="00283995"/>
    <w:rsid w:val="00285565"/>
    <w:rsid w:val="0028576C"/>
    <w:rsid w:val="00285F41"/>
    <w:rsid w:val="00287F13"/>
    <w:rsid w:val="00287FAC"/>
    <w:rsid w:val="002903C7"/>
    <w:rsid w:val="00290447"/>
    <w:rsid w:val="0029115F"/>
    <w:rsid w:val="00291A63"/>
    <w:rsid w:val="002921FD"/>
    <w:rsid w:val="002923BF"/>
    <w:rsid w:val="002924C4"/>
    <w:rsid w:val="0029320C"/>
    <w:rsid w:val="00293C3D"/>
    <w:rsid w:val="00293D65"/>
    <w:rsid w:val="0029477F"/>
    <w:rsid w:val="00294FA8"/>
    <w:rsid w:val="00295673"/>
    <w:rsid w:val="00295A7C"/>
    <w:rsid w:val="00296451"/>
    <w:rsid w:val="00296886"/>
    <w:rsid w:val="00297A20"/>
    <w:rsid w:val="002A000E"/>
    <w:rsid w:val="002A0084"/>
    <w:rsid w:val="002A0ACC"/>
    <w:rsid w:val="002A0B3E"/>
    <w:rsid w:val="002A10AB"/>
    <w:rsid w:val="002A164B"/>
    <w:rsid w:val="002A198B"/>
    <w:rsid w:val="002A2303"/>
    <w:rsid w:val="002A237C"/>
    <w:rsid w:val="002A2410"/>
    <w:rsid w:val="002A2C54"/>
    <w:rsid w:val="002A43AF"/>
    <w:rsid w:val="002A4D9E"/>
    <w:rsid w:val="002A5397"/>
    <w:rsid w:val="002A59CF"/>
    <w:rsid w:val="002A59D2"/>
    <w:rsid w:val="002A62C1"/>
    <w:rsid w:val="002A774A"/>
    <w:rsid w:val="002A79A5"/>
    <w:rsid w:val="002A79EB"/>
    <w:rsid w:val="002A7AF1"/>
    <w:rsid w:val="002B0E44"/>
    <w:rsid w:val="002B1100"/>
    <w:rsid w:val="002B1221"/>
    <w:rsid w:val="002B14FE"/>
    <w:rsid w:val="002B18C0"/>
    <w:rsid w:val="002B3894"/>
    <w:rsid w:val="002B3E96"/>
    <w:rsid w:val="002B4810"/>
    <w:rsid w:val="002B4EE6"/>
    <w:rsid w:val="002B5318"/>
    <w:rsid w:val="002B5443"/>
    <w:rsid w:val="002B58FD"/>
    <w:rsid w:val="002B5E0B"/>
    <w:rsid w:val="002B643A"/>
    <w:rsid w:val="002B6C0E"/>
    <w:rsid w:val="002B6EED"/>
    <w:rsid w:val="002B7204"/>
    <w:rsid w:val="002B78BA"/>
    <w:rsid w:val="002C040C"/>
    <w:rsid w:val="002C0ABA"/>
    <w:rsid w:val="002C100A"/>
    <w:rsid w:val="002C1C72"/>
    <w:rsid w:val="002C1EF4"/>
    <w:rsid w:val="002C29DB"/>
    <w:rsid w:val="002C2AE5"/>
    <w:rsid w:val="002C3969"/>
    <w:rsid w:val="002C4244"/>
    <w:rsid w:val="002C4F69"/>
    <w:rsid w:val="002C5724"/>
    <w:rsid w:val="002C5908"/>
    <w:rsid w:val="002C6948"/>
    <w:rsid w:val="002C6F12"/>
    <w:rsid w:val="002C7B1B"/>
    <w:rsid w:val="002C7B89"/>
    <w:rsid w:val="002D0161"/>
    <w:rsid w:val="002D01D3"/>
    <w:rsid w:val="002D0E7F"/>
    <w:rsid w:val="002D1106"/>
    <w:rsid w:val="002D14D0"/>
    <w:rsid w:val="002D15D0"/>
    <w:rsid w:val="002D15E1"/>
    <w:rsid w:val="002D365F"/>
    <w:rsid w:val="002D36E0"/>
    <w:rsid w:val="002D3739"/>
    <w:rsid w:val="002D387B"/>
    <w:rsid w:val="002D4110"/>
    <w:rsid w:val="002D4699"/>
    <w:rsid w:val="002D50FE"/>
    <w:rsid w:val="002D5742"/>
    <w:rsid w:val="002D61C1"/>
    <w:rsid w:val="002D643F"/>
    <w:rsid w:val="002D67A5"/>
    <w:rsid w:val="002D6877"/>
    <w:rsid w:val="002D6C9F"/>
    <w:rsid w:val="002D723D"/>
    <w:rsid w:val="002D7471"/>
    <w:rsid w:val="002E0389"/>
    <w:rsid w:val="002E0788"/>
    <w:rsid w:val="002E1182"/>
    <w:rsid w:val="002E2625"/>
    <w:rsid w:val="002E2790"/>
    <w:rsid w:val="002E3977"/>
    <w:rsid w:val="002E40BB"/>
    <w:rsid w:val="002E58EE"/>
    <w:rsid w:val="002E5D37"/>
    <w:rsid w:val="002E5FAC"/>
    <w:rsid w:val="002E60EB"/>
    <w:rsid w:val="002E64BE"/>
    <w:rsid w:val="002E66EC"/>
    <w:rsid w:val="002E67C7"/>
    <w:rsid w:val="002E7380"/>
    <w:rsid w:val="002F019B"/>
    <w:rsid w:val="002F0537"/>
    <w:rsid w:val="002F061D"/>
    <w:rsid w:val="002F0A4A"/>
    <w:rsid w:val="002F0FFA"/>
    <w:rsid w:val="002F1662"/>
    <w:rsid w:val="002F1BA6"/>
    <w:rsid w:val="002F2343"/>
    <w:rsid w:val="002F24B5"/>
    <w:rsid w:val="002F26D0"/>
    <w:rsid w:val="002F27D7"/>
    <w:rsid w:val="002F2B34"/>
    <w:rsid w:val="002F2BC2"/>
    <w:rsid w:val="002F2C69"/>
    <w:rsid w:val="002F2DBE"/>
    <w:rsid w:val="002F33FA"/>
    <w:rsid w:val="002F3B1E"/>
    <w:rsid w:val="002F43AE"/>
    <w:rsid w:val="002F4817"/>
    <w:rsid w:val="002F4853"/>
    <w:rsid w:val="002F4983"/>
    <w:rsid w:val="002F560B"/>
    <w:rsid w:val="002F64DA"/>
    <w:rsid w:val="002F7CD1"/>
    <w:rsid w:val="002F7D55"/>
    <w:rsid w:val="002F7E8E"/>
    <w:rsid w:val="00300839"/>
    <w:rsid w:val="003010F3"/>
    <w:rsid w:val="00301261"/>
    <w:rsid w:val="00301439"/>
    <w:rsid w:val="00301D7E"/>
    <w:rsid w:val="00302867"/>
    <w:rsid w:val="00303C9B"/>
    <w:rsid w:val="0030423D"/>
    <w:rsid w:val="00304B0E"/>
    <w:rsid w:val="00304B78"/>
    <w:rsid w:val="00304D1B"/>
    <w:rsid w:val="00305491"/>
    <w:rsid w:val="003055A6"/>
    <w:rsid w:val="00305BF6"/>
    <w:rsid w:val="003060F0"/>
    <w:rsid w:val="0030621B"/>
    <w:rsid w:val="00306AD9"/>
    <w:rsid w:val="00306D7B"/>
    <w:rsid w:val="00306E48"/>
    <w:rsid w:val="00307320"/>
    <w:rsid w:val="00307341"/>
    <w:rsid w:val="00310DF1"/>
    <w:rsid w:val="00311261"/>
    <w:rsid w:val="003116FA"/>
    <w:rsid w:val="003120DC"/>
    <w:rsid w:val="00312213"/>
    <w:rsid w:val="003124E4"/>
    <w:rsid w:val="0031268E"/>
    <w:rsid w:val="003138FD"/>
    <w:rsid w:val="00314182"/>
    <w:rsid w:val="00314440"/>
    <w:rsid w:val="00314516"/>
    <w:rsid w:val="00314B8F"/>
    <w:rsid w:val="00315E49"/>
    <w:rsid w:val="00315EEE"/>
    <w:rsid w:val="003163F0"/>
    <w:rsid w:val="0031697B"/>
    <w:rsid w:val="00317509"/>
    <w:rsid w:val="00317635"/>
    <w:rsid w:val="003179C3"/>
    <w:rsid w:val="00317EDA"/>
    <w:rsid w:val="00320C1A"/>
    <w:rsid w:val="00320CF9"/>
    <w:rsid w:val="00321725"/>
    <w:rsid w:val="00321B7E"/>
    <w:rsid w:val="003222C9"/>
    <w:rsid w:val="00322767"/>
    <w:rsid w:val="00322882"/>
    <w:rsid w:val="00322BEE"/>
    <w:rsid w:val="00323072"/>
    <w:rsid w:val="00323D93"/>
    <w:rsid w:val="00323ED2"/>
    <w:rsid w:val="00324256"/>
    <w:rsid w:val="0032522A"/>
    <w:rsid w:val="003263BA"/>
    <w:rsid w:val="00326697"/>
    <w:rsid w:val="003267D1"/>
    <w:rsid w:val="00326CCC"/>
    <w:rsid w:val="0032793B"/>
    <w:rsid w:val="00327E2A"/>
    <w:rsid w:val="00327F30"/>
    <w:rsid w:val="003319D5"/>
    <w:rsid w:val="0033228B"/>
    <w:rsid w:val="003336FE"/>
    <w:rsid w:val="00334997"/>
    <w:rsid w:val="00334A73"/>
    <w:rsid w:val="00334BF0"/>
    <w:rsid w:val="00335397"/>
    <w:rsid w:val="00335CA0"/>
    <w:rsid w:val="00335DCE"/>
    <w:rsid w:val="00335E54"/>
    <w:rsid w:val="00336F07"/>
    <w:rsid w:val="00340163"/>
    <w:rsid w:val="00340A97"/>
    <w:rsid w:val="0034151C"/>
    <w:rsid w:val="003418A5"/>
    <w:rsid w:val="00341BEE"/>
    <w:rsid w:val="003430D9"/>
    <w:rsid w:val="0034321D"/>
    <w:rsid w:val="00343A89"/>
    <w:rsid w:val="00343C6A"/>
    <w:rsid w:val="003449B9"/>
    <w:rsid w:val="003449FB"/>
    <w:rsid w:val="003453E9"/>
    <w:rsid w:val="00345437"/>
    <w:rsid w:val="00345828"/>
    <w:rsid w:val="00345B39"/>
    <w:rsid w:val="00345C53"/>
    <w:rsid w:val="00346FBA"/>
    <w:rsid w:val="003472A8"/>
    <w:rsid w:val="00350319"/>
    <w:rsid w:val="00351593"/>
    <w:rsid w:val="00351A49"/>
    <w:rsid w:val="00351BD1"/>
    <w:rsid w:val="003521F1"/>
    <w:rsid w:val="00352427"/>
    <w:rsid w:val="00352EB8"/>
    <w:rsid w:val="0035438D"/>
    <w:rsid w:val="003547C8"/>
    <w:rsid w:val="0035522C"/>
    <w:rsid w:val="003559AC"/>
    <w:rsid w:val="00355DFF"/>
    <w:rsid w:val="00356280"/>
    <w:rsid w:val="003562B6"/>
    <w:rsid w:val="00356897"/>
    <w:rsid w:val="003569B4"/>
    <w:rsid w:val="003570BD"/>
    <w:rsid w:val="0035757D"/>
    <w:rsid w:val="00357A88"/>
    <w:rsid w:val="003603C1"/>
    <w:rsid w:val="00360467"/>
    <w:rsid w:val="00360C83"/>
    <w:rsid w:val="00361C4E"/>
    <w:rsid w:val="00361DA6"/>
    <w:rsid w:val="00363B91"/>
    <w:rsid w:val="003643C8"/>
    <w:rsid w:val="003648E8"/>
    <w:rsid w:val="00364C18"/>
    <w:rsid w:val="00364E47"/>
    <w:rsid w:val="00364ECD"/>
    <w:rsid w:val="00365286"/>
    <w:rsid w:val="00367282"/>
    <w:rsid w:val="00367838"/>
    <w:rsid w:val="003678BE"/>
    <w:rsid w:val="00367976"/>
    <w:rsid w:val="0037050F"/>
    <w:rsid w:val="0037065E"/>
    <w:rsid w:val="00370A5E"/>
    <w:rsid w:val="00370FFB"/>
    <w:rsid w:val="00371418"/>
    <w:rsid w:val="00371428"/>
    <w:rsid w:val="00371C50"/>
    <w:rsid w:val="00371E62"/>
    <w:rsid w:val="0037282D"/>
    <w:rsid w:val="00372C9F"/>
    <w:rsid w:val="00372E53"/>
    <w:rsid w:val="00372F20"/>
    <w:rsid w:val="003734FE"/>
    <w:rsid w:val="00373575"/>
    <w:rsid w:val="00373A37"/>
    <w:rsid w:val="00374512"/>
    <w:rsid w:val="00374A08"/>
    <w:rsid w:val="00375BDE"/>
    <w:rsid w:val="00375C79"/>
    <w:rsid w:val="00375D17"/>
    <w:rsid w:val="00375D3A"/>
    <w:rsid w:val="003765DA"/>
    <w:rsid w:val="00377494"/>
    <w:rsid w:val="0038232E"/>
    <w:rsid w:val="00382929"/>
    <w:rsid w:val="0038343C"/>
    <w:rsid w:val="003835B9"/>
    <w:rsid w:val="00383915"/>
    <w:rsid w:val="0038395F"/>
    <w:rsid w:val="00383DD8"/>
    <w:rsid w:val="00384D58"/>
    <w:rsid w:val="00385954"/>
    <w:rsid w:val="00386728"/>
    <w:rsid w:val="00386D60"/>
    <w:rsid w:val="003875EC"/>
    <w:rsid w:val="0038781A"/>
    <w:rsid w:val="00387F04"/>
    <w:rsid w:val="00390329"/>
    <w:rsid w:val="00391C77"/>
    <w:rsid w:val="00392D3B"/>
    <w:rsid w:val="003932C2"/>
    <w:rsid w:val="00394437"/>
    <w:rsid w:val="00394474"/>
    <w:rsid w:val="00394D6C"/>
    <w:rsid w:val="00394E9C"/>
    <w:rsid w:val="0039528A"/>
    <w:rsid w:val="0039585B"/>
    <w:rsid w:val="00395DCA"/>
    <w:rsid w:val="00396170"/>
    <w:rsid w:val="003961C7"/>
    <w:rsid w:val="003965D0"/>
    <w:rsid w:val="00396C6E"/>
    <w:rsid w:val="003A03EE"/>
    <w:rsid w:val="003A0E5E"/>
    <w:rsid w:val="003A0F21"/>
    <w:rsid w:val="003A17E2"/>
    <w:rsid w:val="003A1AFC"/>
    <w:rsid w:val="003A1FDA"/>
    <w:rsid w:val="003A21A1"/>
    <w:rsid w:val="003A21C1"/>
    <w:rsid w:val="003A2982"/>
    <w:rsid w:val="003A33E5"/>
    <w:rsid w:val="003A43BC"/>
    <w:rsid w:val="003A4920"/>
    <w:rsid w:val="003A4D44"/>
    <w:rsid w:val="003A4E49"/>
    <w:rsid w:val="003A4F53"/>
    <w:rsid w:val="003A5134"/>
    <w:rsid w:val="003A582A"/>
    <w:rsid w:val="003A5F19"/>
    <w:rsid w:val="003A5FE3"/>
    <w:rsid w:val="003A60AE"/>
    <w:rsid w:val="003A63CA"/>
    <w:rsid w:val="003A6D5C"/>
    <w:rsid w:val="003A6EEA"/>
    <w:rsid w:val="003A7060"/>
    <w:rsid w:val="003A72FB"/>
    <w:rsid w:val="003B04B7"/>
    <w:rsid w:val="003B0531"/>
    <w:rsid w:val="003B1080"/>
    <w:rsid w:val="003B17B4"/>
    <w:rsid w:val="003B214A"/>
    <w:rsid w:val="003B27A3"/>
    <w:rsid w:val="003B280E"/>
    <w:rsid w:val="003B2A6D"/>
    <w:rsid w:val="003B39F4"/>
    <w:rsid w:val="003B3D59"/>
    <w:rsid w:val="003B473C"/>
    <w:rsid w:val="003B4B5A"/>
    <w:rsid w:val="003B4C51"/>
    <w:rsid w:val="003B5F52"/>
    <w:rsid w:val="003B61B2"/>
    <w:rsid w:val="003B63EF"/>
    <w:rsid w:val="003B6C8E"/>
    <w:rsid w:val="003B70F0"/>
    <w:rsid w:val="003B7234"/>
    <w:rsid w:val="003B726E"/>
    <w:rsid w:val="003B72A8"/>
    <w:rsid w:val="003B74E5"/>
    <w:rsid w:val="003B771D"/>
    <w:rsid w:val="003C02A2"/>
    <w:rsid w:val="003C09C4"/>
    <w:rsid w:val="003C119A"/>
    <w:rsid w:val="003C12AA"/>
    <w:rsid w:val="003C13D5"/>
    <w:rsid w:val="003C18FF"/>
    <w:rsid w:val="003C1C79"/>
    <w:rsid w:val="003C20FE"/>
    <w:rsid w:val="003C2561"/>
    <w:rsid w:val="003C2814"/>
    <w:rsid w:val="003C28FD"/>
    <w:rsid w:val="003C3245"/>
    <w:rsid w:val="003C51EE"/>
    <w:rsid w:val="003C59AF"/>
    <w:rsid w:val="003C5C30"/>
    <w:rsid w:val="003C61F5"/>
    <w:rsid w:val="003C6888"/>
    <w:rsid w:val="003C6B66"/>
    <w:rsid w:val="003C6BC0"/>
    <w:rsid w:val="003C7127"/>
    <w:rsid w:val="003C7657"/>
    <w:rsid w:val="003C77A9"/>
    <w:rsid w:val="003D0DE4"/>
    <w:rsid w:val="003D1C70"/>
    <w:rsid w:val="003D1E50"/>
    <w:rsid w:val="003D2029"/>
    <w:rsid w:val="003D219B"/>
    <w:rsid w:val="003D2A56"/>
    <w:rsid w:val="003D3033"/>
    <w:rsid w:val="003D32C2"/>
    <w:rsid w:val="003D3477"/>
    <w:rsid w:val="003D3B29"/>
    <w:rsid w:val="003D4A8D"/>
    <w:rsid w:val="003D5A23"/>
    <w:rsid w:val="003D613C"/>
    <w:rsid w:val="003D64DC"/>
    <w:rsid w:val="003D7D2D"/>
    <w:rsid w:val="003E079A"/>
    <w:rsid w:val="003E1161"/>
    <w:rsid w:val="003E11DF"/>
    <w:rsid w:val="003E19DF"/>
    <w:rsid w:val="003E1FBD"/>
    <w:rsid w:val="003E23FE"/>
    <w:rsid w:val="003E30BE"/>
    <w:rsid w:val="003E4DCD"/>
    <w:rsid w:val="003E61AB"/>
    <w:rsid w:val="003E6D8A"/>
    <w:rsid w:val="003E70E5"/>
    <w:rsid w:val="003E7D36"/>
    <w:rsid w:val="003F0248"/>
    <w:rsid w:val="003F034A"/>
    <w:rsid w:val="003F11C6"/>
    <w:rsid w:val="003F1B6B"/>
    <w:rsid w:val="003F1C2C"/>
    <w:rsid w:val="003F2890"/>
    <w:rsid w:val="003F2E97"/>
    <w:rsid w:val="003F3498"/>
    <w:rsid w:val="003F3C32"/>
    <w:rsid w:val="003F3C43"/>
    <w:rsid w:val="003F3F51"/>
    <w:rsid w:val="003F434E"/>
    <w:rsid w:val="003F44F6"/>
    <w:rsid w:val="003F45A9"/>
    <w:rsid w:val="003F4D25"/>
    <w:rsid w:val="003F5622"/>
    <w:rsid w:val="003F579E"/>
    <w:rsid w:val="003F59B3"/>
    <w:rsid w:val="003F5D71"/>
    <w:rsid w:val="003F5E8D"/>
    <w:rsid w:val="003F5FF9"/>
    <w:rsid w:val="003F7730"/>
    <w:rsid w:val="00400437"/>
    <w:rsid w:val="004008B2"/>
    <w:rsid w:val="004008DD"/>
    <w:rsid w:val="00400E05"/>
    <w:rsid w:val="00401BBC"/>
    <w:rsid w:val="004023B9"/>
    <w:rsid w:val="00402540"/>
    <w:rsid w:val="00402772"/>
    <w:rsid w:val="00402BD1"/>
    <w:rsid w:val="00402DD3"/>
    <w:rsid w:val="004030D3"/>
    <w:rsid w:val="004034E5"/>
    <w:rsid w:val="00403AB0"/>
    <w:rsid w:val="00403BF1"/>
    <w:rsid w:val="00403BF4"/>
    <w:rsid w:val="00404193"/>
    <w:rsid w:val="00404619"/>
    <w:rsid w:val="004046C6"/>
    <w:rsid w:val="00404BD2"/>
    <w:rsid w:val="00405F95"/>
    <w:rsid w:val="0040694A"/>
    <w:rsid w:val="00406CC1"/>
    <w:rsid w:val="00407151"/>
    <w:rsid w:val="00407391"/>
    <w:rsid w:val="00407755"/>
    <w:rsid w:val="00410B04"/>
    <w:rsid w:val="00410F53"/>
    <w:rsid w:val="00411F87"/>
    <w:rsid w:val="00412024"/>
    <w:rsid w:val="0041357F"/>
    <w:rsid w:val="004136CC"/>
    <w:rsid w:val="00414AC3"/>
    <w:rsid w:val="00415B6F"/>
    <w:rsid w:val="00415F48"/>
    <w:rsid w:val="00416997"/>
    <w:rsid w:val="00416DD8"/>
    <w:rsid w:val="00417298"/>
    <w:rsid w:val="00417E88"/>
    <w:rsid w:val="00420CAE"/>
    <w:rsid w:val="00420F0F"/>
    <w:rsid w:val="00421416"/>
    <w:rsid w:val="00421F93"/>
    <w:rsid w:val="00422110"/>
    <w:rsid w:val="00422700"/>
    <w:rsid w:val="0042278A"/>
    <w:rsid w:val="00422BDE"/>
    <w:rsid w:val="00422DF8"/>
    <w:rsid w:val="00423715"/>
    <w:rsid w:val="00423C0D"/>
    <w:rsid w:val="00424145"/>
    <w:rsid w:val="00424179"/>
    <w:rsid w:val="004253DE"/>
    <w:rsid w:val="004260E2"/>
    <w:rsid w:val="0042631F"/>
    <w:rsid w:val="00427331"/>
    <w:rsid w:val="004307E0"/>
    <w:rsid w:val="00430820"/>
    <w:rsid w:val="004327A1"/>
    <w:rsid w:val="0043362D"/>
    <w:rsid w:val="004344E6"/>
    <w:rsid w:val="004345E8"/>
    <w:rsid w:val="004353C9"/>
    <w:rsid w:val="00435511"/>
    <w:rsid w:val="00435BF5"/>
    <w:rsid w:val="00435F45"/>
    <w:rsid w:val="00436B9C"/>
    <w:rsid w:val="00436D39"/>
    <w:rsid w:val="00437FD8"/>
    <w:rsid w:val="00440436"/>
    <w:rsid w:val="0044063C"/>
    <w:rsid w:val="00440864"/>
    <w:rsid w:val="004411FC"/>
    <w:rsid w:val="004423D0"/>
    <w:rsid w:val="0044277C"/>
    <w:rsid w:val="00442849"/>
    <w:rsid w:val="00442A4A"/>
    <w:rsid w:val="0044368F"/>
    <w:rsid w:val="004437DA"/>
    <w:rsid w:val="00443997"/>
    <w:rsid w:val="00443B63"/>
    <w:rsid w:val="004440CC"/>
    <w:rsid w:val="0044414E"/>
    <w:rsid w:val="00444337"/>
    <w:rsid w:val="00444C9A"/>
    <w:rsid w:val="0044534B"/>
    <w:rsid w:val="0044573C"/>
    <w:rsid w:val="00445ACA"/>
    <w:rsid w:val="004464FD"/>
    <w:rsid w:val="00450B14"/>
    <w:rsid w:val="004511B7"/>
    <w:rsid w:val="0045133B"/>
    <w:rsid w:val="00451979"/>
    <w:rsid w:val="00452310"/>
    <w:rsid w:val="004528B9"/>
    <w:rsid w:val="00452A66"/>
    <w:rsid w:val="0045422D"/>
    <w:rsid w:val="004544EA"/>
    <w:rsid w:val="00454C8D"/>
    <w:rsid w:val="004563BD"/>
    <w:rsid w:val="00456C59"/>
    <w:rsid w:val="004570B0"/>
    <w:rsid w:val="0045738A"/>
    <w:rsid w:val="00457A87"/>
    <w:rsid w:val="00457C9E"/>
    <w:rsid w:val="00461251"/>
    <w:rsid w:val="004613BA"/>
    <w:rsid w:val="00461730"/>
    <w:rsid w:val="004618A0"/>
    <w:rsid w:val="00461E84"/>
    <w:rsid w:val="00462801"/>
    <w:rsid w:val="004649B8"/>
    <w:rsid w:val="00464D12"/>
    <w:rsid w:val="00465099"/>
    <w:rsid w:val="00465EA0"/>
    <w:rsid w:val="00466044"/>
    <w:rsid w:val="0046745A"/>
    <w:rsid w:val="00467B75"/>
    <w:rsid w:val="0047008A"/>
    <w:rsid w:val="00470795"/>
    <w:rsid w:val="0047163B"/>
    <w:rsid w:val="00472299"/>
    <w:rsid w:val="00472763"/>
    <w:rsid w:val="00472AB0"/>
    <w:rsid w:val="00472E14"/>
    <w:rsid w:val="00472E3B"/>
    <w:rsid w:val="004730EE"/>
    <w:rsid w:val="00474A05"/>
    <w:rsid w:val="00474C0A"/>
    <w:rsid w:val="00474FCA"/>
    <w:rsid w:val="004751F5"/>
    <w:rsid w:val="004754FA"/>
    <w:rsid w:val="0047552A"/>
    <w:rsid w:val="004759CF"/>
    <w:rsid w:val="00476062"/>
    <w:rsid w:val="004766F5"/>
    <w:rsid w:val="00477AF3"/>
    <w:rsid w:val="00480230"/>
    <w:rsid w:val="00480565"/>
    <w:rsid w:val="004809B5"/>
    <w:rsid w:val="00480A52"/>
    <w:rsid w:val="00480EA1"/>
    <w:rsid w:val="00480FA0"/>
    <w:rsid w:val="0048138D"/>
    <w:rsid w:val="0048146E"/>
    <w:rsid w:val="004820ED"/>
    <w:rsid w:val="0048349B"/>
    <w:rsid w:val="00483629"/>
    <w:rsid w:val="00484382"/>
    <w:rsid w:val="0048446E"/>
    <w:rsid w:val="00484726"/>
    <w:rsid w:val="0048491C"/>
    <w:rsid w:val="00484A09"/>
    <w:rsid w:val="00484B6F"/>
    <w:rsid w:val="00484F62"/>
    <w:rsid w:val="004851F6"/>
    <w:rsid w:val="0048521C"/>
    <w:rsid w:val="00485AA6"/>
    <w:rsid w:val="00485DE1"/>
    <w:rsid w:val="00485F8A"/>
    <w:rsid w:val="004867F1"/>
    <w:rsid w:val="00486B91"/>
    <w:rsid w:val="004903B0"/>
    <w:rsid w:val="0049162D"/>
    <w:rsid w:val="00491853"/>
    <w:rsid w:val="004921F6"/>
    <w:rsid w:val="00494344"/>
    <w:rsid w:val="00494F30"/>
    <w:rsid w:val="00495EAE"/>
    <w:rsid w:val="00497233"/>
    <w:rsid w:val="004974F5"/>
    <w:rsid w:val="00497B86"/>
    <w:rsid w:val="004A027E"/>
    <w:rsid w:val="004A0691"/>
    <w:rsid w:val="004A0B9F"/>
    <w:rsid w:val="004A1167"/>
    <w:rsid w:val="004A1398"/>
    <w:rsid w:val="004A17FE"/>
    <w:rsid w:val="004A181C"/>
    <w:rsid w:val="004A184D"/>
    <w:rsid w:val="004A2187"/>
    <w:rsid w:val="004A250E"/>
    <w:rsid w:val="004A2860"/>
    <w:rsid w:val="004A37F4"/>
    <w:rsid w:val="004A3B32"/>
    <w:rsid w:val="004A3CEB"/>
    <w:rsid w:val="004A42C8"/>
    <w:rsid w:val="004A4BBE"/>
    <w:rsid w:val="004A5051"/>
    <w:rsid w:val="004A5182"/>
    <w:rsid w:val="004A5AAA"/>
    <w:rsid w:val="004A74DB"/>
    <w:rsid w:val="004B020F"/>
    <w:rsid w:val="004B0AA9"/>
    <w:rsid w:val="004B0B1D"/>
    <w:rsid w:val="004B0BA8"/>
    <w:rsid w:val="004B0E9E"/>
    <w:rsid w:val="004B1307"/>
    <w:rsid w:val="004B1376"/>
    <w:rsid w:val="004B20B0"/>
    <w:rsid w:val="004B219F"/>
    <w:rsid w:val="004B3209"/>
    <w:rsid w:val="004B336F"/>
    <w:rsid w:val="004B394C"/>
    <w:rsid w:val="004B3CD2"/>
    <w:rsid w:val="004B4475"/>
    <w:rsid w:val="004B5935"/>
    <w:rsid w:val="004B683C"/>
    <w:rsid w:val="004B6961"/>
    <w:rsid w:val="004B7C67"/>
    <w:rsid w:val="004C05B0"/>
    <w:rsid w:val="004C10FD"/>
    <w:rsid w:val="004C196E"/>
    <w:rsid w:val="004C1B97"/>
    <w:rsid w:val="004C2D8D"/>
    <w:rsid w:val="004C41A2"/>
    <w:rsid w:val="004C477D"/>
    <w:rsid w:val="004C5CB7"/>
    <w:rsid w:val="004C6D6C"/>
    <w:rsid w:val="004C6DAB"/>
    <w:rsid w:val="004C746F"/>
    <w:rsid w:val="004C7626"/>
    <w:rsid w:val="004D0235"/>
    <w:rsid w:val="004D0921"/>
    <w:rsid w:val="004D1013"/>
    <w:rsid w:val="004D2237"/>
    <w:rsid w:val="004D24A1"/>
    <w:rsid w:val="004D2956"/>
    <w:rsid w:val="004D31FD"/>
    <w:rsid w:val="004D3F53"/>
    <w:rsid w:val="004D443C"/>
    <w:rsid w:val="004D6D09"/>
    <w:rsid w:val="004D6F41"/>
    <w:rsid w:val="004E0BEF"/>
    <w:rsid w:val="004E18B5"/>
    <w:rsid w:val="004E2312"/>
    <w:rsid w:val="004E2488"/>
    <w:rsid w:val="004E2531"/>
    <w:rsid w:val="004E2601"/>
    <w:rsid w:val="004E2A87"/>
    <w:rsid w:val="004E370B"/>
    <w:rsid w:val="004E39BE"/>
    <w:rsid w:val="004E406B"/>
    <w:rsid w:val="004E445D"/>
    <w:rsid w:val="004E4C65"/>
    <w:rsid w:val="004E65CA"/>
    <w:rsid w:val="004E6FF5"/>
    <w:rsid w:val="004E78DF"/>
    <w:rsid w:val="004F00DF"/>
    <w:rsid w:val="004F09CE"/>
    <w:rsid w:val="004F1EA5"/>
    <w:rsid w:val="004F22FC"/>
    <w:rsid w:val="004F2C20"/>
    <w:rsid w:val="004F3310"/>
    <w:rsid w:val="004F353E"/>
    <w:rsid w:val="004F357E"/>
    <w:rsid w:val="004F380C"/>
    <w:rsid w:val="004F4321"/>
    <w:rsid w:val="004F5A47"/>
    <w:rsid w:val="004F5D77"/>
    <w:rsid w:val="004F6176"/>
    <w:rsid w:val="004F6F72"/>
    <w:rsid w:val="004F74B9"/>
    <w:rsid w:val="004F74E6"/>
    <w:rsid w:val="004F7871"/>
    <w:rsid w:val="0050001D"/>
    <w:rsid w:val="0050074C"/>
    <w:rsid w:val="00501283"/>
    <w:rsid w:val="00501AE0"/>
    <w:rsid w:val="00501E2B"/>
    <w:rsid w:val="00502504"/>
    <w:rsid w:val="00502997"/>
    <w:rsid w:val="0050455A"/>
    <w:rsid w:val="00504709"/>
    <w:rsid w:val="00504D43"/>
    <w:rsid w:val="00505619"/>
    <w:rsid w:val="00505F4F"/>
    <w:rsid w:val="00507467"/>
    <w:rsid w:val="005074C9"/>
    <w:rsid w:val="00507FC1"/>
    <w:rsid w:val="00510DDC"/>
    <w:rsid w:val="005121DC"/>
    <w:rsid w:val="005134AB"/>
    <w:rsid w:val="005136A8"/>
    <w:rsid w:val="00513A31"/>
    <w:rsid w:val="00513C58"/>
    <w:rsid w:val="0051458F"/>
    <w:rsid w:val="00514F2D"/>
    <w:rsid w:val="005162FC"/>
    <w:rsid w:val="00516A5A"/>
    <w:rsid w:val="00516DA0"/>
    <w:rsid w:val="005175A9"/>
    <w:rsid w:val="00517BFA"/>
    <w:rsid w:val="00517DD5"/>
    <w:rsid w:val="00520A98"/>
    <w:rsid w:val="00520F58"/>
    <w:rsid w:val="00520F5C"/>
    <w:rsid w:val="00521014"/>
    <w:rsid w:val="0052123E"/>
    <w:rsid w:val="00521B6E"/>
    <w:rsid w:val="005232BB"/>
    <w:rsid w:val="005236C9"/>
    <w:rsid w:val="00523D50"/>
    <w:rsid w:val="00523FCC"/>
    <w:rsid w:val="00524842"/>
    <w:rsid w:val="00524942"/>
    <w:rsid w:val="005250BC"/>
    <w:rsid w:val="00525FF2"/>
    <w:rsid w:val="0052645D"/>
    <w:rsid w:val="005266DC"/>
    <w:rsid w:val="00526709"/>
    <w:rsid w:val="00527953"/>
    <w:rsid w:val="00527B85"/>
    <w:rsid w:val="00527D11"/>
    <w:rsid w:val="005300B1"/>
    <w:rsid w:val="005303A5"/>
    <w:rsid w:val="005303C8"/>
    <w:rsid w:val="005304F4"/>
    <w:rsid w:val="005314C7"/>
    <w:rsid w:val="005319E3"/>
    <w:rsid w:val="005345D6"/>
    <w:rsid w:val="00535C81"/>
    <w:rsid w:val="00535E7F"/>
    <w:rsid w:val="00536291"/>
    <w:rsid w:val="005364F2"/>
    <w:rsid w:val="00536C58"/>
    <w:rsid w:val="00536E3D"/>
    <w:rsid w:val="00537335"/>
    <w:rsid w:val="00537681"/>
    <w:rsid w:val="00540795"/>
    <w:rsid w:val="005409F4"/>
    <w:rsid w:val="00541197"/>
    <w:rsid w:val="00541712"/>
    <w:rsid w:val="0054178E"/>
    <w:rsid w:val="00541A65"/>
    <w:rsid w:val="0054243A"/>
    <w:rsid w:val="00542CEB"/>
    <w:rsid w:val="00542D98"/>
    <w:rsid w:val="00543107"/>
    <w:rsid w:val="005432C8"/>
    <w:rsid w:val="0054396F"/>
    <w:rsid w:val="00543D5F"/>
    <w:rsid w:val="0054459A"/>
    <w:rsid w:val="00544863"/>
    <w:rsid w:val="0054643A"/>
    <w:rsid w:val="00547125"/>
    <w:rsid w:val="005473A2"/>
    <w:rsid w:val="0054781A"/>
    <w:rsid w:val="00547A95"/>
    <w:rsid w:val="00547C14"/>
    <w:rsid w:val="00550470"/>
    <w:rsid w:val="00550712"/>
    <w:rsid w:val="00550A59"/>
    <w:rsid w:val="00552EAC"/>
    <w:rsid w:val="0055359E"/>
    <w:rsid w:val="00553BB3"/>
    <w:rsid w:val="005540BF"/>
    <w:rsid w:val="005546EE"/>
    <w:rsid w:val="00554784"/>
    <w:rsid w:val="00554983"/>
    <w:rsid w:val="00554FF5"/>
    <w:rsid w:val="0055563F"/>
    <w:rsid w:val="0055614C"/>
    <w:rsid w:val="00557869"/>
    <w:rsid w:val="00557D33"/>
    <w:rsid w:val="00557EE4"/>
    <w:rsid w:val="00557FCB"/>
    <w:rsid w:val="00560099"/>
    <w:rsid w:val="0056105E"/>
    <w:rsid w:val="0056111E"/>
    <w:rsid w:val="005637BE"/>
    <w:rsid w:val="0056385E"/>
    <w:rsid w:val="00563CF9"/>
    <w:rsid w:val="00564136"/>
    <w:rsid w:val="005647C3"/>
    <w:rsid w:val="00564888"/>
    <w:rsid w:val="00564F00"/>
    <w:rsid w:val="005658F0"/>
    <w:rsid w:val="00565B5F"/>
    <w:rsid w:val="00565C4F"/>
    <w:rsid w:val="00565CE7"/>
    <w:rsid w:val="00567649"/>
    <w:rsid w:val="00567913"/>
    <w:rsid w:val="00567BD9"/>
    <w:rsid w:val="00567E41"/>
    <w:rsid w:val="00570240"/>
    <w:rsid w:val="00570893"/>
    <w:rsid w:val="00571279"/>
    <w:rsid w:val="005717CD"/>
    <w:rsid w:val="00572139"/>
    <w:rsid w:val="0057220E"/>
    <w:rsid w:val="005722B8"/>
    <w:rsid w:val="005723E7"/>
    <w:rsid w:val="005726E1"/>
    <w:rsid w:val="005727FF"/>
    <w:rsid w:val="00572F0B"/>
    <w:rsid w:val="005732E6"/>
    <w:rsid w:val="00573666"/>
    <w:rsid w:val="00573D7A"/>
    <w:rsid w:val="00574294"/>
    <w:rsid w:val="0057438E"/>
    <w:rsid w:val="00574748"/>
    <w:rsid w:val="00575339"/>
    <w:rsid w:val="00575F93"/>
    <w:rsid w:val="00575FD3"/>
    <w:rsid w:val="00576322"/>
    <w:rsid w:val="005765E9"/>
    <w:rsid w:val="005767AF"/>
    <w:rsid w:val="00576EF3"/>
    <w:rsid w:val="00577352"/>
    <w:rsid w:val="00577BD8"/>
    <w:rsid w:val="00580071"/>
    <w:rsid w:val="00580534"/>
    <w:rsid w:val="005814D7"/>
    <w:rsid w:val="005817F0"/>
    <w:rsid w:val="005836ED"/>
    <w:rsid w:val="00583A3C"/>
    <w:rsid w:val="00583D4D"/>
    <w:rsid w:val="00584145"/>
    <w:rsid w:val="0058416F"/>
    <w:rsid w:val="00584288"/>
    <w:rsid w:val="00584331"/>
    <w:rsid w:val="005847B1"/>
    <w:rsid w:val="005854ED"/>
    <w:rsid w:val="00585A21"/>
    <w:rsid w:val="00586707"/>
    <w:rsid w:val="00586EFE"/>
    <w:rsid w:val="00587BA7"/>
    <w:rsid w:val="005906C2"/>
    <w:rsid w:val="00590C25"/>
    <w:rsid w:val="005911F1"/>
    <w:rsid w:val="00591495"/>
    <w:rsid w:val="00591D79"/>
    <w:rsid w:val="00591FD3"/>
    <w:rsid w:val="00592292"/>
    <w:rsid w:val="00592595"/>
    <w:rsid w:val="005925DC"/>
    <w:rsid w:val="0059310A"/>
    <w:rsid w:val="00593858"/>
    <w:rsid w:val="00593A2A"/>
    <w:rsid w:val="005944E1"/>
    <w:rsid w:val="00594BC2"/>
    <w:rsid w:val="00594D19"/>
    <w:rsid w:val="00594F1A"/>
    <w:rsid w:val="00595449"/>
    <w:rsid w:val="00595842"/>
    <w:rsid w:val="00595E5C"/>
    <w:rsid w:val="0059635F"/>
    <w:rsid w:val="00596615"/>
    <w:rsid w:val="00596CA7"/>
    <w:rsid w:val="0059781A"/>
    <w:rsid w:val="0059785F"/>
    <w:rsid w:val="005A0BE3"/>
    <w:rsid w:val="005A1020"/>
    <w:rsid w:val="005A10D3"/>
    <w:rsid w:val="005A1625"/>
    <w:rsid w:val="005A1FAD"/>
    <w:rsid w:val="005A21A7"/>
    <w:rsid w:val="005A22FD"/>
    <w:rsid w:val="005A241E"/>
    <w:rsid w:val="005A2965"/>
    <w:rsid w:val="005A32DC"/>
    <w:rsid w:val="005A5534"/>
    <w:rsid w:val="005A59A2"/>
    <w:rsid w:val="005A68C0"/>
    <w:rsid w:val="005A6D38"/>
    <w:rsid w:val="005A6E21"/>
    <w:rsid w:val="005A7130"/>
    <w:rsid w:val="005A79CA"/>
    <w:rsid w:val="005A7EFA"/>
    <w:rsid w:val="005B0761"/>
    <w:rsid w:val="005B0BE1"/>
    <w:rsid w:val="005B0CD0"/>
    <w:rsid w:val="005B0D76"/>
    <w:rsid w:val="005B0FEA"/>
    <w:rsid w:val="005B13D5"/>
    <w:rsid w:val="005B1D86"/>
    <w:rsid w:val="005B2E2A"/>
    <w:rsid w:val="005B3BB5"/>
    <w:rsid w:val="005B5797"/>
    <w:rsid w:val="005B5BF4"/>
    <w:rsid w:val="005B674C"/>
    <w:rsid w:val="005B6D53"/>
    <w:rsid w:val="005B6E4E"/>
    <w:rsid w:val="005B6F6B"/>
    <w:rsid w:val="005B6FCD"/>
    <w:rsid w:val="005B71DF"/>
    <w:rsid w:val="005B7732"/>
    <w:rsid w:val="005B7962"/>
    <w:rsid w:val="005C0729"/>
    <w:rsid w:val="005C0FDC"/>
    <w:rsid w:val="005C1724"/>
    <w:rsid w:val="005C19DF"/>
    <w:rsid w:val="005C1ABA"/>
    <w:rsid w:val="005C2BC4"/>
    <w:rsid w:val="005C2C3C"/>
    <w:rsid w:val="005C2FDC"/>
    <w:rsid w:val="005C30D0"/>
    <w:rsid w:val="005C314B"/>
    <w:rsid w:val="005C36CE"/>
    <w:rsid w:val="005C39ED"/>
    <w:rsid w:val="005C3A86"/>
    <w:rsid w:val="005C3AF7"/>
    <w:rsid w:val="005C459B"/>
    <w:rsid w:val="005C5342"/>
    <w:rsid w:val="005C66B7"/>
    <w:rsid w:val="005C6AEA"/>
    <w:rsid w:val="005D01D2"/>
    <w:rsid w:val="005D19C6"/>
    <w:rsid w:val="005D219C"/>
    <w:rsid w:val="005D2637"/>
    <w:rsid w:val="005D2DC7"/>
    <w:rsid w:val="005D3067"/>
    <w:rsid w:val="005D30E1"/>
    <w:rsid w:val="005D34C3"/>
    <w:rsid w:val="005D3CC9"/>
    <w:rsid w:val="005D453B"/>
    <w:rsid w:val="005D4A3B"/>
    <w:rsid w:val="005D581E"/>
    <w:rsid w:val="005D620D"/>
    <w:rsid w:val="005D65EF"/>
    <w:rsid w:val="005D6708"/>
    <w:rsid w:val="005D713A"/>
    <w:rsid w:val="005D71AA"/>
    <w:rsid w:val="005D7997"/>
    <w:rsid w:val="005D7A3A"/>
    <w:rsid w:val="005D7DAA"/>
    <w:rsid w:val="005E09B6"/>
    <w:rsid w:val="005E16DE"/>
    <w:rsid w:val="005E210C"/>
    <w:rsid w:val="005E2191"/>
    <w:rsid w:val="005E2A81"/>
    <w:rsid w:val="005E308E"/>
    <w:rsid w:val="005E33D8"/>
    <w:rsid w:val="005E3A71"/>
    <w:rsid w:val="005E3C53"/>
    <w:rsid w:val="005E4203"/>
    <w:rsid w:val="005E4447"/>
    <w:rsid w:val="005E44C9"/>
    <w:rsid w:val="005E510E"/>
    <w:rsid w:val="005E5483"/>
    <w:rsid w:val="005E6298"/>
    <w:rsid w:val="005E722C"/>
    <w:rsid w:val="005E7BDB"/>
    <w:rsid w:val="005F00E4"/>
    <w:rsid w:val="005F1AE6"/>
    <w:rsid w:val="005F2255"/>
    <w:rsid w:val="005F25DD"/>
    <w:rsid w:val="005F26BE"/>
    <w:rsid w:val="005F2977"/>
    <w:rsid w:val="005F29F3"/>
    <w:rsid w:val="005F316A"/>
    <w:rsid w:val="005F3326"/>
    <w:rsid w:val="005F449F"/>
    <w:rsid w:val="005F4B5F"/>
    <w:rsid w:val="005F56A2"/>
    <w:rsid w:val="005F6DF5"/>
    <w:rsid w:val="005F70EC"/>
    <w:rsid w:val="005F7674"/>
    <w:rsid w:val="005F7812"/>
    <w:rsid w:val="005F7C79"/>
    <w:rsid w:val="005F7D85"/>
    <w:rsid w:val="005F7E77"/>
    <w:rsid w:val="006001B0"/>
    <w:rsid w:val="00600579"/>
    <w:rsid w:val="00600586"/>
    <w:rsid w:val="00600B6C"/>
    <w:rsid w:val="00600C5B"/>
    <w:rsid w:val="00600E06"/>
    <w:rsid w:val="00601595"/>
    <w:rsid w:val="006015A4"/>
    <w:rsid w:val="00601793"/>
    <w:rsid w:val="006021F0"/>
    <w:rsid w:val="00602D3F"/>
    <w:rsid w:val="00602E2F"/>
    <w:rsid w:val="00603498"/>
    <w:rsid w:val="00603833"/>
    <w:rsid w:val="00603B74"/>
    <w:rsid w:val="00603C50"/>
    <w:rsid w:val="00603CE9"/>
    <w:rsid w:val="00604034"/>
    <w:rsid w:val="00605A37"/>
    <w:rsid w:val="00605EDE"/>
    <w:rsid w:val="006071F6"/>
    <w:rsid w:val="0060740C"/>
    <w:rsid w:val="0060747E"/>
    <w:rsid w:val="00610754"/>
    <w:rsid w:val="00610758"/>
    <w:rsid w:val="00610765"/>
    <w:rsid w:val="006112A5"/>
    <w:rsid w:val="00611C23"/>
    <w:rsid w:val="00611DC2"/>
    <w:rsid w:val="0061212D"/>
    <w:rsid w:val="006123AE"/>
    <w:rsid w:val="00612478"/>
    <w:rsid w:val="00612776"/>
    <w:rsid w:val="00612AB4"/>
    <w:rsid w:val="006146CC"/>
    <w:rsid w:val="00614960"/>
    <w:rsid w:val="00614C38"/>
    <w:rsid w:val="006165B8"/>
    <w:rsid w:val="006166A1"/>
    <w:rsid w:val="00617309"/>
    <w:rsid w:val="00617361"/>
    <w:rsid w:val="00617E09"/>
    <w:rsid w:val="00620642"/>
    <w:rsid w:val="00620FF3"/>
    <w:rsid w:val="0062115C"/>
    <w:rsid w:val="0062126B"/>
    <w:rsid w:val="00621DB4"/>
    <w:rsid w:val="00622572"/>
    <w:rsid w:val="00622BCC"/>
    <w:rsid w:val="00622D45"/>
    <w:rsid w:val="00624158"/>
    <w:rsid w:val="00625997"/>
    <w:rsid w:val="00626AF0"/>
    <w:rsid w:val="00626E49"/>
    <w:rsid w:val="0062772E"/>
    <w:rsid w:val="006303B7"/>
    <w:rsid w:val="00630510"/>
    <w:rsid w:val="006306C4"/>
    <w:rsid w:val="00630F05"/>
    <w:rsid w:val="00630F51"/>
    <w:rsid w:val="00631935"/>
    <w:rsid w:val="00631945"/>
    <w:rsid w:val="006326E9"/>
    <w:rsid w:val="00632C1B"/>
    <w:rsid w:val="00632C63"/>
    <w:rsid w:val="006336C5"/>
    <w:rsid w:val="006339FA"/>
    <w:rsid w:val="00633A47"/>
    <w:rsid w:val="00633EA5"/>
    <w:rsid w:val="00634204"/>
    <w:rsid w:val="006347B0"/>
    <w:rsid w:val="006347D4"/>
    <w:rsid w:val="00634FE8"/>
    <w:rsid w:val="00635F1E"/>
    <w:rsid w:val="00636233"/>
    <w:rsid w:val="006372BE"/>
    <w:rsid w:val="006378CC"/>
    <w:rsid w:val="00637BF5"/>
    <w:rsid w:val="00637F87"/>
    <w:rsid w:val="006404CA"/>
    <w:rsid w:val="00642AA4"/>
    <w:rsid w:val="00642B50"/>
    <w:rsid w:val="00643083"/>
    <w:rsid w:val="0064364A"/>
    <w:rsid w:val="006436CD"/>
    <w:rsid w:val="00643910"/>
    <w:rsid w:val="00643F4E"/>
    <w:rsid w:val="006457CC"/>
    <w:rsid w:val="00645DE9"/>
    <w:rsid w:val="00646742"/>
    <w:rsid w:val="0064735A"/>
    <w:rsid w:val="00647742"/>
    <w:rsid w:val="006508B6"/>
    <w:rsid w:val="00651247"/>
    <w:rsid w:val="00651297"/>
    <w:rsid w:val="00651F16"/>
    <w:rsid w:val="00652AC3"/>
    <w:rsid w:val="00653130"/>
    <w:rsid w:val="00653A65"/>
    <w:rsid w:val="00654CB0"/>
    <w:rsid w:val="00655170"/>
    <w:rsid w:val="00655A1E"/>
    <w:rsid w:val="00655EB2"/>
    <w:rsid w:val="006561C8"/>
    <w:rsid w:val="00656213"/>
    <w:rsid w:val="00656864"/>
    <w:rsid w:val="00657388"/>
    <w:rsid w:val="00657671"/>
    <w:rsid w:val="006576CD"/>
    <w:rsid w:val="00657D87"/>
    <w:rsid w:val="00660927"/>
    <w:rsid w:val="00660A34"/>
    <w:rsid w:val="00660EBA"/>
    <w:rsid w:val="00661AAF"/>
    <w:rsid w:val="00661CC3"/>
    <w:rsid w:val="00661E1E"/>
    <w:rsid w:val="00662144"/>
    <w:rsid w:val="0066316F"/>
    <w:rsid w:val="00663643"/>
    <w:rsid w:val="00664600"/>
    <w:rsid w:val="006646BA"/>
    <w:rsid w:val="00664F7F"/>
    <w:rsid w:val="00665509"/>
    <w:rsid w:val="006655A4"/>
    <w:rsid w:val="00666C61"/>
    <w:rsid w:val="00666E4F"/>
    <w:rsid w:val="0066798A"/>
    <w:rsid w:val="0066799C"/>
    <w:rsid w:val="00667ED7"/>
    <w:rsid w:val="00670544"/>
    <w:rsid w:val="0067056F"/>
    <w:rsid w:val="00670AA6"/>
    <w:rsid w:val="006711A5"/>
    <w:rsid w:val="006711E5"/>
    <w:rsid w:val="0067178C"/>
    <w:rsid w:val="00672263"/>
    <w:rsid w:val="00672593"/>
    <w:rsid w:val="006727C1"/>
    <w:rsid w:val="00672DDD"/>
    <w:rsid w:val="006731E5"/>
    <w:rsid w:val="00673864"/>
    <w:rsid w:val="006739FC"/>
    <w:rsid w:val="00674A1D"/>
    <w:rsid w:val="00674A96"/>
    <w:rsid w:val="00674E21"/>
    <w:rsid w:val="00675AC7"/>
    <w:rsid w:val="00675B13"/>
    <w:rsid w:val="00676669"/>
    <w:rsid w:val="006767AE"/>
    <w:rsid w:val="00676C7D"/>
    <w:rsid w:val="00676DF9"/>
    <w:rsid w:val="00677A47"/>
    <w:rsid w:val="00680466"/>
    <w:rsid w:val="00680538"/>
    <w:rsid w:val="0068067E"/>
    <w:rsid w:val="00681010"/>
    <w:rsid w:val="006816F1"/>
    <w:rsid w:val="00681D40"/>
    <w:rsid w:val="00682DB5"/>
    <w:rsid w:val="00683DA2"/>
    <w:rsid w:val="00683DB0"/>
    <w:rsid w:val="00684067"/>
    <w:rsid w:val="0068413B"/>
    <w:rsid w:val="00684247"/>
    <w:rsid w:val="00684BAA"/>
    <w:rsid w:val="006853A4"/>
    <w:rsid w:val="0068745B"/>
    <w:rsid w:val="00690B82"/>
    <w:rsid w:val="0069156A"/>
    <w:rsid w:val="00691A6D"/>
    <w:rsid w:val="006926DF"/>
    <w:rsid w:val="00692BEE"/>
    <w:rsid w:val="00693463"/>
    <w:rsid w:val="006937C7"/>
    <w:rsid w:val="00693BA6"/>
    <w:rsid w:val="006943EE"/>
    <w:rsid w:val="00694973"/>
    <w:rsid w:val="00695601"/>
    <w:rsid w:val="006956C8"/>
    <w:rsid w:val="00695710"/>
    <w:rsid w:val="006958CA"/>
    <w:rsid w:val="00695A3C"/>
    <w:rsid w:val="0069687C"/>
    <w:rsid w:val="006978CB"/>
    <w:rsid w:val="00697A24"/>
    <w:rsid w:val="00697E0A"/>
    <w:rsid w:val="00697E9C"/>
    <w:rsid w:val="006A002B"/>
    <w:rsid w:val="006A0FE7"/>
    <w:rsid w:val="006A11CE"/>
    <w:rsid w:val="006A19FE"/>
    <w:rsid w:val="006A2166"/>
    <w:rsid w:val="006A2639"/>
    <w:rsid w:val="006A272F"/>
    <w:rsid w:val="006A2C9A"/>
    <w:rsid w:val="006A3070"/>
    <w:rsid w:val="006A34DF"/>
    <w:rsid w:val="006A34EC"/>
    <w:rsid w:val="006A35DD"/>
    <w:rsid w:val="006A3A5C"/>
    <w:rsid w:val="006A456B"/>
    <w:rsid w:val="006A5B0E"/>
    <w:rsid w:val="006A61DC"/>
    <w:rsid w:val="006A65EA"/>
    <w:rsid w:val="006A6F62"/>
    <w:rsid w:val="006A7A07"/>
    <w:rsid w:val="006B0341"/>
    <w:rsid w:val="006B0A74"/>
    <w:rsid w:val="006B0F9D"/>
    <w:rsid w:val="006B12A1"/>
    <w:rsid w:val="006B1B74"/>
    <w:rsid w:val="006B1C0E"/>
    <w:rsid w:val="006B1F4B"/>
    <w:rsid w:val="006B2121"/>
    <w:rsid w:val="006B27A8"/>
    <w:rsid w:val="006B28D1"/>
    <w:rsid w:val="006B2A7A"/>
    <w:rsid w:val="006B2CE8"/>
    <w:rsid w:val="006B472B"/>
    <w:rsid w:val="006B4ABB"/>
    <w:rsid w:val="006B4AFF"/>
    <w:rsid w:val="006B4F5D"/>
    <w:rsid w:val="006B55EC"/>
    <w:rsid w:val="006B744F"/>
    <w:rsid w:val="006B748F"/>
    <w:rsid w:val="006B78DA"/>
    <w:rsid w:val="006C0DA3"/>
    <w:rsid w:val="006C1AD8"/>
    <w:rsid w:val="006C23B5"/>
    <w:rsid w:val="006C27CF"/>
    <w:rsid w:val="006C29CB"/>
    <w:rsid w:val="006C40B2"/>
    <w:rsid w:val="006C40E2"/>
    <w:rsid w:val="006C4EE0"/>
    <w:rsid w:val="006C5AB5"/>
    <w:rsid w:val="006C61B6"/>
    <w:rsid w:val="006C6E65"/>
    <w:rsid w:val="006C7473"/>
    <w:rsid w:val="006C75D6"/>
    <w:rsid w:val="006C76AA"/>
    <w:rsid w:val="006D01C9"/>
    <w:rsid w:val="006D067F"/>
    <w:rsid w:val="006D076F"/>
    <w:rsid w:val="006D09CF"/>
    <w:rsid w:val="006D11F2"/>
    <w:rsid w:val="006D12BC"/>
    <w:rsid w:val="006D131A"/>
    <w:rsid w:val="006D1D74"/>
    <w:rsid w:val="006D1DCC"/>
    <w:rsid w:val="006D325B"/>
    <w:rsid w:val="006D344B"/>
    <w:rsid w:val="006D46C1"/>
    <w:rsid w:val="006D4A9F"/>
    <w:rsid w:val="006D51A0"/>
    <w:rsid w:val="006D5248"/>
    <w:rsid w:val="006D6220"/>
    <w:rsid w:val="006D6C74"/>
    <w:rsid w:val="006D71E4"/>
    <w:rsid w:val="006E0081"/>
    <w:rsid w:val="006E208E"/>
    <w:rsid w:val="006E24C3"/>
    <w:rsid w:val="006E2956"/>
    <w:rsid w:val="006E50A7"/>
    <w:rsid w:val="006E5C7B"/>
    <w:rsid w:val="006E65F1"/>
    <w:rsid w:val="006E6E2A"/>
    <w:rsid w:val="006E71B8"/>
    <w:rsid w:val="006E753F"/>
    <w:rsid w:val="006E7D5A"/>
    <w:rsid w:val="006E7F3E"/>
    <w:rsid w:val="006E7F79"/>
    <w:rsid w:val="006F070C"/>
    <w:rsid w:val="006F138F"/>
    <w:rsid w:val="006F1980"/>
    <w:rsid w:val="006F1BE5"/>
    <w:rsid w:val="006F275F"/>
    <w:rsid w:val="006F2F46"/>
    <w:rsid w:val="006F358E"/>
    <w:rsid w:val="006F36B4"/>
    <w:rsid w:val="006F4000"/>
    <w:rsid w:val="006F4D75"/>
    <w:rsid w:val="006F51A9"/>
    <w:rsid w:val="006F64DF"/>
    <w:rsid w:val="006F6B22"/>
    <w:rsid w:val="006F6F2C"/>
    <w:rsid w:val="007006BE"/>
    <w:rsid w:val="00700756"/>
    <w:rsid w:val="007016EE"/>
    <w:rsid w:val="0070179D"/>
    <w:rsid w:val="00701D6F"/>
    <w:rsid w:val="00701F66"/>
    <w:rsid w:val="007026AE"/>
    <w:rsid w:val="00703128"/>
    <w:rsid w:val="0070434B"/>
    <w:rsid w:val="00704BE4"/>
    <w:rsid w:val="00704EF5"/>
    <w:rsid w:val="00705060"/>
    <w:rsid w:val="00705261"/>
    <w:rsid w:val="00705946"/>
    <w:rsid w:val="0070671E"/>
    <w:rsid w:val="00706938"/>
    <w:rsid w:val="00706975"/>
    <w:rsid w:val="00707155"/>
    <w:rsid w:val="00707237"/>
    <w:rsid w:val="007073B8"/>
    <w:rsid w:val="00710343"/>
    <w:rsid w:val="00710937"/>
    <w:rsid w:val="007118C8"/>
    <w:rsid w:val="00711C99"/>
    <w:rsid w:val="00711CC6"/>
    <w:rsid w:val="007120C6"/>
    <w:rsid w:val="007129AA"/>
    <w:rsid w:val="00712E49"/>
    <w:rsid w:val="0071349D"/>
    <w:rsid w:val="00714004"/>
    <w:rsid w:val="00715620"/>
    <w:rsid w:val="00715E6C"/>
    <w:rsid w:val="00715F83"/>
    <w:rsid w:val="00716426"/>
    <w:rsid w:val="007173A8"/>
    <w:rsid w:val="00720162"/>
    <w:rsid w:val="00720415"/>
    <w:rsid w:val="007209DF"/>
    <w:rsid w:val="007213EE"/>
    <w:rsid w:val="007217BB"/>
    <w:rsid w:val="00721A27"/>
    <w:rsid w:val="00722414"/>
    <w:rsid w:val="007228B0"/>
    <w:rsid w:val="0072319E"/>
    <w:rsid w:val="00723253"/>
    <w:rsid w:val="007243F9"/>
    <w:rsid w:val="0072536B"/>
    <w:rsid w:val="00725616"/>
    <w:rsid w:val="00725E0C"/>
    <w:rsid w:val="007260A5"/>
    <w:rsid w:val="007308B1"/>
    <w:rsid w:val="00731599"/>
    <w:rsid w:val="00732256"/>
    <w:rsid w:val="007322A9"/>
    <w:rsid w:val="007323EF"/>
    <w:rsid w:val="00732ECA"/>
    <w:rsid w:val="00732F7C"/>
    <w:rsid w:val="00733A34"/>
    <w:rsid w:val="00733B46"/>
    <w:rsid w:val="00733F4B"/>
    <w:rsid w:val="00734048"/>
    <w:rsid w:val="0073763C"/>
    <w:rsid w:val="00740225"/>
    <w:rsid w:val="00740430"/>
    <w:rsid w:val="007407CF"/>
    <w:rsid w:val="007407FD"/>
    <w:rsid w:val="00740F7D"/>
    <w:rsid w:val="00741808"/>
    <w:rsid w:val="00741E94"/>
    <w:rsid w:val="007433EC"/>
    <w:rsid w:val="00743A9F"/>
    <w:rsid w:val="0074417C"/>
    <w:rsid w:val="00744997"/>
    <w:rsid w:val="00744BF5"/>
    <w:rsid w:val="00744F8D"/>
    <w:rsid w:val="00745406"/>
    <w:rsid w:val="0074626A"/>
    <w:rsid w:val="00746D18"/>
    <w:rsid w:val="00746D80"/>
    <w:rsid w:val="00747FD3"/>
    <w:rsid w:val="00751C41"/>
    <w:rsid w:val="00751C42"/>
    <w:rsid w:val="00752198"/>
    <w:rsid w:val="00752239"/>
    <w:rsid w:val="00753368"/>
    <w:rsid w:val="007535A8"/>
    <w:rsid w:val="007536F6"/>
    <w:rsid w:val="00753B52"/>
    <w:rsid w:val="00754077"/>
    <w:rsid w:val="00754365"/>
    <w:rsid w:val="00754AB8"/>
    <w:rsid w:val="00754AF6"/>
    <w:rsid w:val="00754B1A"/>
    <w:rsid w:val="00756A41"/>
    <w:rsid w:val="00760923"/>
    <w:rsid w:val="00760A4D"/>
    <w:rsid w:val="007615A4"/>
    <w:rsid w:val="007618EE"/>
    <w:rsid w:val="007626B3"/>
    <w:rsid w:val="00762830"/>
    <w:rsid w:val="0076367B"/>
    <w:rsid w:val="0076389E"/>
    <w:rsid w:val="00763B39"/>
    <w:rsid w:val="0076473F"/>
    <w:rsid w:val="0076559B"/>
    <w:rsid w:val="007657F6"/>
    <w:rsid w:val="00765B5E"/>
    <w:rsid w:val="00765C50"/>
    <w:rsid w:val="00765CCF"/>
    <w:rsid w:val="00765E94"/>
    <w:rsid w:val="00766FAD"/>
    <w:rsid w:val="00770D35"/>
    <w:rsid w:val="00770F74"/>
    <w:rsid w:val="007725E4"/>
    <w:rsid w:val="00772765"/>
    <w:rsid w:val="00772E73"/>
    <w:rsid w:val="00772F25"/>
    <w:rsid w:val="00773762"/>
    <w:rsid w:val="00774297"/>
    <w:rsid w:val="0077430D"/>
    <w:rsid w:val="00774857"/>
    <w:rsid w:val="007751BD"/>
    <w:rsid w:val="007759AC"/>
    <w:rsid w:val="00775B42"/>
    <w:rsid w:val="007761CA"/>
    <w:rsid w:val="007761FB"/>
    <w:rsid w:val="007768DC"/>
    <w:rsid w:val="00776A78"/>
    <w:rsid w:val="007779B8"/>
    <w:rsid w:val="00782B04"/>
    <w:rsid w:val="00782EA0"/>
    <w:rsid w:val="00783FFF"/>
    <w:rsid w:val="0078409C"/>
    <w:rsid w:val="007845AD"/>
    <w:rsid w:val="00784C31"/>
    <w:rsid w:val="00784C99"/>
    <w:rsid w:val="00786ED9"/>
    <w:rsid w:val="007870B4"/>
    <w:rsid w:val="007872EF"/>
    <w:rsid w:val="007874CE"/>
    <w:rsid w:val="0078753B"/>
    <w:rsid w:val="00787B98"/>
    <w:rsid w:val="00787FFD"/>
    <w:rsid w:val="00790A9D"/>
    <w:rsid w:val="007922F5"/>
    <w:rsid w:val="00792357"/>
    <w:rsid w:val="007937FE"/>
    <w:rsid w:val="00793837"/>
    <w:rsid w:val="007939E7"/>
    <w:rsid w:val="00794134"/>
    <w:rsid w:val="00794792"/>
    <w:rsid w:val="007948C2"/>
    <w:rsid w:val="007959FC"/>
    <w:rsid w:val="00797096"/>
    <w:rsid w:val="007978E9"/>
    <w:rsid w:val="00797FAE"/>
    <w:rsid w:val="007A0749"/>
    <w:rsid w:val="007A0AB5"/>
    <w:rsid w:val="007A160A"/>
    <w:rsid w:val="007A1C6F"/>
    <w:rsid w:val="007A287E"/>
    <w:rsid w:val="007A34FD"/>
    <w:rsid w:val="007A4235"/>
    <w:rsid w:val="007A4881"/>
    <w:rsid w:val="007A52CE"/>
    <w:rsid w:val="007A5980"/>
    <w:rsid w:val="007A59E6"/>
    <w:rsid w:val="007A629E"/>
    <w:rsid w:val="007A6EC2"/>
    <w:rsid w:val="007B04F8"/>
    <w:rsid w:val="007B0F6E"/>
    <w:rsid w:val="007B0F71"/>
    <w:rsid w:val="007B188F"/>
    <w:rsid w:val="007B2694"/>
    <w:rsid w:val="007B283C"/>
    <w:rsid w:val="007B28BD"/>
    <w:rsid w:val="007B30A7"/>
    <w:rsid w:val="007B3685"/>
    <w:rsid w:val="007B38AE"/>
    <w:rsid w:val="007B39F2"/>
    <w:rsid w:val="007B4BE3"/>
    <w:rsid w:val="007B544F"/>
    <w:rsid w:val="007B59CE"/>
    <w:rsid w:val="007B6824"/>
    <w:rsid w:val="007B7400"/>
    <w:rsid w:val="007B78DF"/>
    <w:rsid w:val="007B7AF3"/>
    <w:rsid w:val="007C0533"/>
    <w:rsid w:val="007C09BF"/>
    <w:rsid w:val="007C0AD9"/>
    <w:rsid w:val="007C1C96"/>
    <w:rsid w:val="007C1EC4"/>
    <w:rsid w:val="007C1F05"/>
    <w:rsid w:val="007C2C44"/>
    <w:rsid w:val="007C2E87"/>
    <w:rsid w:val="007C37F2"/>
    <w:rsid w:val="007C4261"/>
    <w:rsid w:val="007C4278"/>
    <w:rsid w:val="007C439E"/>
    <w:rsid w:val="007C44D4"/>
    <w:rsid w:val="007C55BB"/>
    <w:rsid w:val="007C59FC"/>
    <w:rsid w:val="007C6613"/>
    <w:rsid w:val="007C6D88"/>
    <w:rsid w:val="007C7360"/>
    <w:rsid w:val="007C7634"/>
    <w:rsid w:val="007C7814"/>
    <w:rsid w:val="007C7E81"/>
    <w:rsid w:val="007D0CE4"/>
    <w:rsid w:val="007D0EEA"/>
    <w:rsid w:val="007D292B"/>
    <w:rsid w:val="007D2E64"/>
    <w:rsid w:val="007D34A5"/>
    <w:rsid w:val="007D3B3F"/>
    <w:rsid w:val="007D3E3F"/>
    <w:rsid w:val="007D411D"/>
    <w:rsid w:val="007D4444"/>
    <w:rsid w:val="007D48BF"/>
    <w:rsid w:val="007D5018"/>
    <w:rsid w:val="007D51CB"/>
    <w:rsid w:val="007D65D3"/>
    <w:rsid w:val="007D72E4"/>
    <w:rsid w:val="007D7351"/>
    <w:rsid w:val="007D7555"/>
    <w:rsid w:val="007D7AE5"/>
    <w:rsid w:val="007E0B31"/>
    <w:rsid w:val="007E12D4"/>
    <w:rsid w:val="007E1C7C"/>
    <w:rsid w:val="007E28E7"/>
    <w:rsid w:val="007E30F2"/>
    <w:rsid w:val="007E3510"/>
    <w:rsid w:val="007E3E6D"/>
    <w:rsid w:val="007E3EBD"/>
    <w:rsid w:val="007E41DF"/>
    <w:rsid w:val="007E43C4"/>
    <w:rsid w:val="007E454B"/>
    <w:rsid w:val="007E524F"/>
    <w:rsid w:val="007E58F6"/>
    <w:rsid w:val="007E5FAA"/>
    <w:rsid w:val="007E611D"/>
    <w:rsid w:val="007E6F46"/>
    <w:rsid w:val="007F0111"/>
    <w:rsid w:val="007F0F25"/>
    <w:rsid w:val="007F1AF1"/>
    <w:rsid w:val="007F2014"/>
    <w:rsid w:val="007F2849"/>
    <w:rsid w:val="007F2D48"/>
    <w:rsid w:val="007F300E"/>
    <w:rsid w:val="007F3425"/>
    <w:rsid w:val="007F3553"/>
    <w:rsid w:val="007F366E"/>
    <w:rsid w:val="007F378A"/>
    <w:rsid w:val="007F4372"/>
    <w:rsid w:val="007F4602"/>
    <w:rsid w:val="007F4F0A"/>
    <w:rsid w:val="007F53FB"/>
    <w:rsid w:val="007F5658"/>
    <w:rsid w:val="007F5932"/>
    <w:rsid w:val="007F6166"/>
    <w:rsid w:val="007F6ED9"/>
    <w:rsid w:val="007F7B98"/>
    <w:rsid w:val="007F7F5E"/>
    <w:rsid w:val="00800B77"/>
    <w:rsid w:val="00800D85"/>
    <w:rsid w:val="00800E59"/>
    <w:rsid w:val="00801864"/>
    <w:rsid w:val="00801F21"/>
    <w:rsid w:val="00802189"/>
    <w:rsid w:val="00802C3E"/>
    <w:rsid w:val="0080378A"/>
    <w:rsid w:val="00803A1B"/>
    <w:rsid w:val="0080404C"/>
    <w:rsid w:val="008040AB"/>
    <w:rsid w:val="00805E67"/>
    <w:rsid w:val="008067B1"/>
    <w:rsid w:val="00806EEF"/>
    <w:rsid w:val="0080706F"/>
    <w:rsid w:val="0080707F"/>
    <w:rsid w:val="00807689"/>
    <w:rsid w:val="008076E0"/>
    <w:rsid w:val="00807841"/>
    <w:rsid w:val="0081120E"/>
    <w:rsid w:val="008112CD"/>
    <w:rsid w:val="008119E0"/>
    <w:rsid w:val="00813B9A"/>
    <w:rsid w:val="00813E1B"/>
    <w:rsid w:val="00813E4D"/>
    <w:rsid w:val="00814780"/>
    <w:rsid w:val="0081576E"/>
    <w:rsid w:val="00815888"/>
    <w:rsid w:val="008169CD"/>
    <w:rsid w:val="00816BD0"/>
    <w:rsid w:val="00816CA5"/>
    <w:rsid w:val="00816E2E"/>
    <w:rsid w:val="00816F67"/>
    <w:rsid w:val="00817102"/>
    <w:rsid w:val="00817DBD"/>
    <w:rsid w:val="008204DB"/>
    <w:rsid w:val="008212B5"/>
    <w:rsid w:val="008212C8"/>
    <w:rsid w:val="00821348"/>
    <w:rsid w:val="00821CD6"/>
    <w:rsid w:val="008227BF"/>
    <w:rsid w:val="008233CD"/>
    <w:rsid w:val="00823512"/>
    <w:rsid w:val="008243D4"/>
    <w:rsid w:val="008245C4"/>
    <w:rsid w:val="008248A5"/>
    <w:rsid w:val="00825195"/>
    <w:rsid w:val="00826136"/>
    <w:rsid w:val="00826E25"/>
    <w:rsid w:val="00827408"/>
    <w:rsid w:val="00827645"/>
    <w:rsid w:val="00827759"/>
    <w:rsid w:val="0082796B"/>
    <w:rsid w:val="00827C88"/>
    <w:rsid w:val="00827DE7"/>
    <w:rsid w:val="00827EE1"/>
    <w:rsid w:val="00830135"/>
    <w:rsid w:val="00830349"/>
    <w:rsid w:val="0083061D"/>
    <w:rsid w:val="008310EA"/>
    <w:rsid w:val="008310FD"/>
    <w:rsid w:val="0083135D"/>
    <w:rsid w:val="00831FD3"/>
    <w:rsid w:val="008326FD"/>
    <w:rsid w:val="008327E1"/>
    <w:rsid w:val="00833AE5"/>
    <w:rsid w:val="00834C11"/>
    <w:rsid w:val="008353F4"/>
    <w:rsid w:val="00835E6F"/>
    <w:rsid w:val="0083624A"/>
    <w:rsid w:val="008362A8"/>
    <w:rsid w:val="00836C9D"/>
    <w:rsid w:val="008376D6"/>
    <w:rsid w:val="00840723"/>
    <w:rsid w:val="00840B48"/>
    <w:rsid w:val="00840E0D"/>
    <w:rsid w:val="0084135E"/>
    <w:rsid w:val="00841659"/>
    <w:rsid w:val="0084262B"/>
    <w:rsid w:val="00843868"/>
    <w:rsid w:val="00843A60"/>
    <w:rsid w:val="00843CA9"/>
    <w:rsid w:val="00844432"/>
    <w:rsid w:val="00845938"/>
    <w:rsid w:val="00845CF3"/>
    <w:rsid w:val="008467E8"/>
    <w:rsid w:val="008473F2"/>
    <w:rsid w:val="008476BA"/>
    <w:rsid w:val="00850172"/>
    <w:rsid w:val="0085224D"/>
    <w:rsid w:val="00852458"/>
    <w:rsid w:val="0085295D"/>
    <w:rsid w:val="00852B75"/>
    <w:rsid w:val="00852DF3"/>
    <w:rsid w:val="00853370"/>
    <w:rsid w:val="00854C89"/>
    <w:rsid w:val="00854F58"/>
    <w:rsid w:val="0085580C"/>
    <w:rsid w:val="00855847"/>
    <w:rsid w:val="00856278"/>
    <w:rsid w:val="00856AEB"/>
    <w:rsid w:val="008572FB"/>
    <w:rsid w:val="00857933"/>
    <w:rsid w:val="00860A66"/>
    <w:rsid w:val="008619DE"/>
    <w:rsid w:val="00861AF4"/>
    <w:rsid w:val="00861CF8"/>
    <w:rsid w:val="0086227B"/>
    <w:rsid w:val="008623B3"/>
    <w:rsid w:val="008625F3"/>
    <w:rsid w:val="00863823"/>
    <w:rsid w:val="00863A9B"/>
    <w:rsid w:val="008648E1"/>
    <w:rsid w:val="00864E2E"/>
    <w:rsid w:val="00864F76"/>
    <w:rsid w:val="008666A7"/>
    <w:rsid w:val="00867167"/>
    <w:rsid w:val="00867753"/>
    <w:rsid w:val="00867B70"/>
    <w:rsid w:val="00870B9C"/>
    <w:rsid w:val="00870E96"/>
    <w:rsid w:val="008719EF"/>
    <w:rsid w:val="008725D4"/>
    <w:rsid w:val="00872DD8"/>
    <w:rsid w:val="00873062"/>
    <w:rsid w:val="00873466"/>
    <w:rsid w:val="00873EA4"/>
    <w:rsid w:val="00873FF7"/>
    <w:rsid w:val="0087415D"/>
    <w:rsid w:val="00874587"/>
    <w:rsid w:val="008745AF"/>
    <w:rsid w:val="00874687"/>
    <w:rsid w:val="00874949"/>
    <w:rsid w:val="00874DEC"/>
    <w:rsid w:val="008763B3"/>
    <w:rsid w:val="00876647"/>
    <w:rsid w:val="00876F66"/>
    <w:rsid w:val="00876F8E"/>
    <w:rsid w:val="00877873"/>
    <w:rsid w:val="00877ECC"/>
    <w:rsid w:val="00877F5A"/>
    <w:rsid w:val="008801F2"/>
    <w:rsid w:val="0088076D"/>
    <w:rsid w:val="0088104A"/>
    <w:rsid w:val="008817B3"/>
    <w:rsid w:val="0088181E"/>
    <w:rsid w:val="00881CBA"/>
    <w:rsid w:val="00882009"/>
    <w:rsid w:val="00883250"/>
    <w:rsid w:val="00883747"/>
    <w:rsid w:val="00883D49"/>
    <w:rsid w:val="00884851"/>
    <w:rsid w:val="00884A78"/>
    <w:rsid w:val="00884E2C"/>
    <w:rsid w:val="00884F8C"/>
    <w:rsid w:val="00885A87"/>
    <w:rsid w:val="00885E7E"/>
    <w:rsid w:val="00885F20"/>
    <w:rsid w:val="00886412"/>
    <w:rsid w:val="008869CC"/>
    <w:rsid w:val="00886DBB"/>
    <w:rsid w:val="00887D47"/>
    <w:rsid w:val="00887E98"/>
    <w:rsid w:val="008904BB"/>
    <w:rsid w:val="00890D11"/>
    <w:rsid w:val="00890F21"/>
    <w:rsid w:val="00891017"/>
    <w:rsid w:val="00891767"/>
    <w:rsid w:val="00891DD5"/>
    <w:rsid w:val="00892834"/>
    <w:rsid w:val="00892CE5"/>
    <w:rsid w:val="00893230"/>
    <w:rsid w:val="0089376F"/>
    <w:rsid w:val="00894456"/>
    <w:rsid w:val="00894562"/>
    <w:rsid w:val="00894AE1"/>
    <w:rsid w:val="0089529C"/>
    <w:rsid w:val="0089546C"/>
    <w:rsid w:val="00895B6C"/>
    <w:rsid w:val="00895DDC"/>
    <w:rsid w:val="00896009"/>
    <w:rsid w:val="0089664F"/>
    <w:rsid w:val="008966B1"/>
    <w:rsid w:val="0089748E"/>
    <w:rsid w:val="008978D2"/>
    <w:rsid w:val="008A042D"/>
    <w:rsid w:val="008A08CB"/>
    <w:rsid w:val="008A0F55"/>
    <w:rsid w:val="008A1728"/>
    <w:rsid w:val="008A1949"/>
    <w:rsid w:val="008A1F20"/>
    <w:rsid w:val="008A1FDE"/>
    <w:rsid w:val="008A219C"/>
    <w:rsid w:val="008A2524"/>
    <w:rsid w:val="008A2A7B"/>
    <w:rsid w:val="008A3AB8"/>
    <w:rsid w:val="008A40FA"/>
    <w:rsid w:val="008A45AE"/>
    <w:rsid w:val="008A5C15"/>
    <w:rsid w:val="008A5F43"/>
    <w:rsid w:val="008A6ED8"/>
    <w:rsid w:val="008B03A1"/>
    <w:rsid w:val="008B04F1"/>
    <w:rsid w:val="008B065B"/>
    <w:rsid w:val="008B0929"/>
    <w:rsid w:val="008B1698"/>
    <w:rsid w:val="008B188D"/>
    <w:rsid w:val="008B1C9B"/>
    <w:rsid w:val="008B3D16"/>
    <w:rsid w:val="008B410E"/>
    <w:rsid w:val="008B4B2C"/>
    <w:rsid w:val="008B4D4C"/>
    <w:rsid w:val="008B5099"/>
    <w:rsid w:val="008B5574"/>
    <w:rsid w:val="008B5665"/>
    <w:rsid w:val="008B6E20"/>
    <w:rsid w:val="008B6E92"/>
    <w:rsid w:val="008B6F2E"/>
    <w:rsid w:val="008C020D"/>
    <w:rsid w:val="008C09AB"/>
    <w:rsid w:val="008C0EA4"/>
    <w:rsid w:val="008C1C5C"/>
    <w:rsid w:val="008C1D7D"/>
    <w:rsid w:val="008C2AEB"/>
    <w:rsid w:val="008C3697"/>
    <w:rsid w:val="008C419D"/>
    <w:rsid w:val="008C42C2"/>
    <w:rsid w:val="008C4722"/>
    <w:rsid w:val="008C5A26"/>
    <w:rsid w:val="008C5E2A"/>
    <w:rsid w:val="008C5EE9"/>
    <w:rsid w:val="008C5F62"/>
    <w:rsid w:val="008C611C"/>
    <w:rsid w:val="008C6BD7"/>
    <w:rsid w:val="008C6DC2"/>
    <w:rsid w:val="008C71D3"/>
    <w:rsid w:val="008C74AA"/>
    <w:rsid w:val="008C7786"/>
    <w:rsid w:val="008C7FED"/>
    <w:rsid w:val="008D01C2"/>
    <w:rsid w:val="008D09C6"/>
    <w:rsid w:val="008D2182"/>
    <w:rsid w:val="008D254E"/>
    <w:rsid w:val="008D3121"/>
    <w:rsid w:val="008D504C"/>
    <w:rsid w:val="008D51F1"/>
    <w:rsid w:val="008D5B6C"/>
    <w:rsid w:val="008D7413"/>
    <w:rsid w:val="008D7C8D"/>
    <w:rsid w:val="008E0450"/>
    <w:rsid w:val="008E0751"/>
    <w:rsid w:val="008E0BB8"/>
    <w:rsid w:val="008E12A6"/>
    <w:rsid w:val="008E309C"/>
    <w:rsid w:val="008E378C"/>
    <w:rsid w:val="008E42F7"/>
    <w:rsid w:val="008E46DB"/>
    <w:rsid w:val="008E599A"/>
    <w:rsid w:val="008E5C0A"/>
    <w:rsid w:val="008E5F75"/>
    <w:rsid w:val="008E6006"/>
    <w:rsid w:val="008E63FC"/>
    <w:rsid w:val="008E6991"/>
    <w:rsid w:val="008E6DC6"/>
    <w:rsid w:val="008E7578"/>
    <w:rsid w:val="008E796F"/>
    <w:rsid w:val="008E7C7F"/>
    <w:rsid w:val="008F0C74"/>
    <w:rsid w:val="008F1429"/>
    <w:rsid w:val="008F1588"/>
    <w:rsid w:val="008F1CB7"/>
    <w:rsid w:val="008F201E"/>
    <w:rsid w:val="008F229E"/>
    <w:rsid w:val="008F2361"/>
    <w:rsid w:val="008F26F6"/>
    <w:rsid w:val="008F2BD8"/>
    <w:rsid w:val="008F34D2"/>
    <w:rsid w:val="008F3764"/>
    <w:rsid w:val="008F3AAF"/>
    <w:rsid w:val="008F3C67"/>
    <w:rsid w:val="008F48A7"/>
    <w:rsid w:val="008F505B"/>
    <w:rsid w:val="008F5C89"/>
    <w:rsid w:val="008F5CA1"/>
    <w:rsid w:val="008F70C7"/>
    <w:rsid w:val="008F724D"/>
    <w:rsid w:val="008F7930"/>
    <w:rsid w:val="008F7B3C"/>
    <w:rsid w:val="009002B0"/>
    <w:rsid w:val="00900936"/>
    <w:rsid w:val="00900A7D"/>
    <w:rsid w:val="009010FC"/>
    <w:rsid w:val="00902588"/>
    <w:rsid w:val="0090259E"/>
    <w:rsid w:val="00902D1F"/>
    <w:rsid w:val="00904949"/>
    <w:rsid w:val="00904FED"/>
    <w:rsid w:val="0090519C"/>
    <w:rsid w:val="00905DDB"/>
    <w:rsid w:val="00905E76"/>
    <w:rsid w:val="009064DA"/>
    <w:rsid w:val="009067CB"/>
    <w:rsid w:val="00906AC4"/>
    <w:rsid w:val="0090761E"/>
    <w:rsid w:val="009078CA"/>
    <w:rsid w:val="00910088"/>
    <w:rsid w:val="009102D4"/>
    <w:rsid w:val="009108A1"/>
    <w:rsid w:val="00910E23"/>
    <w:rsid w:val="00911492"/>
    <w:rsid w:val="0091186D"/>
    <w:rsid w:val="00911EAD"/>
    <w:rsid w:val="009123B6"/>
    <w:rsid w:val="00912635"/>
    <w:rsid w:val="009136EF"/>
    <w:rsid w:val="00913D1E"/>
    <w:rsid w:val="009144D9"/>
    <w:rsid w:val="009146DB"/>
    <w:rsid w:val="00914AB3"/>
    <w:rsid w:val="00915D8C"/>
    <w:rsid w:val="0091659E"/>
    <w:rsid w:val="009174D0"/>
    <w:rsid w:val="009215FE"/>
    <w:rsid w:val="00922A8F"/>
    <w:rsid w:val="00922AB4"/>
    <w:rsid w:val="00922BFA"/>
    <w:rsid w:val="009234BC"/>
    <w:rsid w:val="00924210"/>
    <w:rsid w:val="00924819"/>
    <w:rsid w:val="00924D80"/>
    <w:rsid w:val="0092512D"/>
    <w:rsid w:val="00925AC7"/>
    <w:rsid w:val="00925EE1"/>
    <w:rsid w:val="009260F8"/>
    <w:rsid w:val="00926B42"/>
    <w:rsid w:val="00926BB6"/>
    <w:rsid w:val="0092752C"/>
    <w:rsid w:val="00927AC5"/>
    <w:rsid w:val="009304BC"/>
    <w:rsid w:val="00930551"/>
    <w:rsid w:val="009305A1"/>
    <w:rsid w:val="00932175"/>
    <w:rsid w:val="0093220C"/>
    <w:rsid w:val="009325D4"/>
    <w:rsid w:val="00932B93"/>
    <w:rsid w:val="0093334C"/>
    <w:rsid w:val="009334BD"/>
    <w:rsid w:val="0093422F"/>
    <w:rsid w:val="009348C3"/>
    <w:rsid w:val="00934973"/>
    <w:rsid w:val="00934AE7"/>
    <w:rsid w:val="00934C0A"/>
    <w:rsid w:val="009362A8"/>
    <w:rsid w:val="00936CAA"/>
    <w:rsid w:val="00940914"/>
    <w:rsid w:val="009417B0"/>
    <w:rsid w:val="00941C6C"/>
    <w:rsid w:val="009420AD"/>
    <w:rsid w:val="009421E8"/>
    <w:rsid w:val="009422CD"/>
    <w:rsid w:val="0094350F"/>
    <w:rsid w:val="009439FE"/>
    <w:rsid w:val="00943CE8"/>
    <w:rsid w:val="00944191"/>
    <w:rsid w:val="00944452"/>
    <w:rsid w:val="0094492F"/>
    <w:rsid w:val="00944D89"/>
    <w:rsid w:val="00945446"/>
    <w:rsid w:val="0094563F"/>
    <w:rsid w:val="00945C0E"/>
    <w:rsid w:val="0094620E"/>
    <w:rsid w:val="00947691"/>
    <w:rsid w:val="00947AFC"/>
    <w:rsid w:val="00950043"/>
    <w:rsid w:val="009508FE"/>
    <w:rsid w:val="009512DF"/>
    <w:rsid w:val="00952B96"/>
    <w:rsid w:val="009533B2"/>
    <w:rsid w:val="009534F4"/>
    <w:rsid w:val="00953A47"/>
    <w:rsid w:val="00953E8F"/>
    <w:rsid w:val="009544FE"/>
    <w:rsid w:val="00955477"/>
    <w:rsid w:val="00955701"/>
    <w:rsid w:val="0095683C"/>
    <w:rsid w:val="00956C23"/>
    <w:rsid w:val="00956CE7"/>
    <w:rsid w:val="00956DDF"/>
    <w:rsid w:val="009576D6"/>
    <w:rsid w:val="00957A45"/>
    <w:rsid w:val="0096195C"/>
    <w:rsid w:val="00961EAD"/>
    <w:rsid w:val="00962C2E"/>
    <w:rsid w:val="0096441C"/>
    <w:rsid w:val="00964470"/>
    <w:rsid w:val="00964B3A"/>
    <w:rsid w:val="00964E01"/>
    <w:rsid w:val="009655AC"/>
    <w:rsid w:val="009659AB"/>
    <w:rsid w:val="00966B1B"/>
    <w:rsid w:val="00967A27"/>
    <w:rsid w:val="00967B2C"/>
    <w:rsid w:val="00970FA6"/>
    <w:rsid w:val="00971557"/>
    <w:rsid w:val="00972597"/>
    <w:rsid w:val="00972DCC"/>
    <w:rsid w:val="00973655"/>
    <w:rsid w:val="009748D4"/>
    <w:rsid w:val="00974EB2"/>
    <w:rsid w:val="00975880"/>
    <w:rsid w:val="00976BC5"/>
    <w:rsid w:val="00976D95"/>
    <w:rsid w:val="009772C8"/>
    <w:rsid w:val="00977CD2"/>
    <w:rsid w:val="00977E69"/>
    <w:rsid w:val="009813C9"/>
    <w:rsid w:val="009813EE"/>
    <w:rsid w:val="00981790"/>
    <w:rsid w:val="00982874"/>
    <w:rsid w:val="009835D5"/>
    <w:rsid w:val="0098389D"/>
    <w:rsid w:val="00983977"/>
    <w:rsid w:val="00983A06"/>
    <w:rsid w:val="00983CA9"/>
    <w:rsid w:val="009859D9"/>
    <w:rsid w:val="00985A84"/>
    <w:rsid w:val="00985AC3"/>
    <w:rsid w:val="00985C85"/>
    <w:rsid w:val="00986F8F"/>
    <w:rsid w:val="0098704E"/>
    <w:rsid w:val="009879CD"/>
    <w:rsid w:val="009902EC"/>
    <w:rsid w:val="0099034D"/>
    <w:rsid w:val="0099061F"/>
    <w:rsid w:val="00990F3E"/>
    <w:rsid w:val="0099118F"/>
    <w:rsid w:val="009914EE"/>
    <w:rsid w:val="00992B8E"/>
    <w:rsid w:val="0099345D"/>
    <w:rsid w:val="00993A2D"/>
    <w:rsid w:val="00993B7D"/>
    <w:rsid w:val="00993C62"/>
    <w:rsid w:val="00993FD0"/>
    <w:rsid w:val="00993FD1"/>
    <w:rsid w:val="0099437D"/>
    <w:rsid w:val="00994807"/>
    <w:rsid w:val="00994A0F"/>
    <w:rsid w:val="00995558"/>
    <w:rsid w:val="00995B4F"/>
    <w:rsid w:val="00996371"/>
    <w:rsid w:val="0099738C"/>
    <w:rsid w:val="009977DD"/>
    <w:rsid w:val="00997CFB"/>
    <w:rsid w:val="009A005D"/>
    <w:rsid w:val="009A077F"/>
    <w:rsid w:val="009A0DCB"/>
    <w:rsid w:val="009A143B"/>
    <w:rsid w:val="009A1593"/>
    <w:rsid w:val="009A1A4F"/>
    <w:rsid w:val="009A2D94"/>
    <w:rsid w:val="009A2E85"/>
    <w:rsid w:val="009A3279"/>
    <w:rsid w:val="009A3722"/>
    <w:rsid w:val="009A3D24"/>
    <w:rsid w:val="009A52D1"/>
    <w:rsid w:val="009A581B"/>
    <w:rsid w:val="009B05EB"/>
    <w:rsid w:val="009B0B90"/>
    <w:rsid w:val="009B0E80"/>
    <w:rsid w:val="009B0FC7"/>
    <w:rsid w:val="009B1750"/>
    <w:rsid w:val="009B191A"/>
    <w:rsid w:val="009B2A52"/>
    <w:rsid w:val="009B2C42"/>
    <w:rsid w:val="009B3EAB"/>
    <w:rsid w:val="009B429B"/>
    <w:rsid w:val="009B565B"/>
    <w:rsid w:val="009B5BE9"/>
    <w:rsid w:val="009B656E"/>
    <w:rsid w:val="009B6AC8"/>
    <w:rsid w:val="009C011E"/>
    <w:rsid w:val="009C05E7"/>
    <w:rsid w:val="009C0AB1"/>
    <w:rsid w:val="009C107D"/>
    <w:rsid w:val="009C1962"/>
    <w:rsid w:val="009C29D4"/>
    <w:rsid w:val="009C30AB"/>
    <w:rsid w:val="009C30CA"/>
    <w:rsid w:val="009C3C0E"/>
    <w:rsid w:val="009C3EC3"/>
    <w:rsid w:val="009C4636"/>
    <w:rsid w:val="009C4A26"/>
    <w:rsid w:val="009C4B49"/>
    <w:rsid w:val="009C4E26"/>
    <w:rsid w:val="009C4F5D"/>
    <w:rsid w:val="009C5899"/>
    <w:rsid w:val="009C6FE8"/>
    <w:rsid w:val="009C7C17"/>
    <w:rsid w:val="009D050D"/>
    <w:rsid w:val="009D1496"/>
    <w:rsid w:val="009D1794"/>
    <w:rsid w:val="009D17A0"/>
    <w:rsid w:val="009D214E"/>
    <w:rsid w:val="009D30D1"/>
    <w:rsid w:val="009D3BEF"/>
    <w:rsid w:val="009D3D2E"/>
    <w:rsid w:val="009D448B"/>
    <w:rsid w:val="009D44AF"/>
    <w:rsid w:val="009D5157"/>
    <w:rsid w:val="009D57AA"/>
    <w:rsid w:val="009D5B91"/>
    <w:rsid w:val="009D5CF3"/>
    <w:rsid w:val="009D748F"/>
    <w:rsid w:val="009D7527"/>
    <w:rsid w:val="009E01AC"/>
    <w:rsid w:val="009E0A8D"/>
    <w:rsid w:val="009E0C50"/>
    <w:rsid w:val="009E2433"/>
    <w:rsid w:val="009E289F"/>
    <w:rsid w:val="009E2D2E"/>
    <w:rsid w:val="009E317F"/>
    <w:rsid w:val="009E3416"/>
    <w:rsid w:val="009E362B"/>
    <w:rsid w:val="009E3818"/>
    <w:rsid w:val="009E3AE0"/>
    <w:rsid w:val="009E5EC6"/>
    <w:rsid w:val="009E64C4"/>
    <w:rsid w:val="009E6766"/>
    <w:rsid w:val="009E6E67"/>
    <w:rsid w:val="009E7179"/>
    <w:rsid w:val="009E7194"/>
    <w:rsid w:val="009F0A48"/>
    <w:rsid w:val="009F0B93"/>
    <w:rsid w:val="009F0D9B"/>
    <w:rsid w:val="009F1024"/>
    <w:rsid w:val="009F1E52"/>
    <w:rsid w:val="009F2B62"/>
    <w:rsid w:val="009F31CF"/>
    <w:rsid w:val="009F367C"/>
    <w:rsid w:val="009F3AE4"/>
    <w:rsid w:val="009F3D6E"/>
    <w:rsid w:val="009F5398"/>
    <w:rsid w:val="009F5B9F"/>
    <w:rsid w:val="009F6E79"/>
    <w:rsid w:val="009F7997"/>
    <w:rsid w:val="00A0097B"/>
    <w:rsid w:val="00A01C6F"/>
    <w:rsid w:val="00A0211D"/>
    <w:rsid w:val="00A034E0"/>
    <w:rsid w:val="00A03565"/>
    <w:rsid w:val="00A03F70"/>
    <w:rsid w:val="00A0401C"/>
    <w:rsid w:val="00A0529E"/>
    <w:rsid w:val="00A05F36"/>
    <w:rsid w:val="00A066BC"/>
    <w:rsid w:val="00A06DD6"/>
    <w:rsid w:val="00A07F88"/>
    <w:rsid w:val="00A10678"/>
    <w:rsid w:val="00A10B11"/>
    <w:rsid w:val="00A10C5B"/>
    <w:rsid w:val="00A1106C"/>
    <w:rsid w:val="00A113C4"/>
    <w:rsid w:val="00A117C4"/>
    <w:rsid w:val="00A12A32"/>
    <w:rsid w:val="00A13438"/>
    <w:rsid w:val="00A14523"/>
    <w:rsid w:val="00A14D39"/>
    <w:rsid w:val="00A15E52"/>
    <w:rsid w:val="00A16188"/>
    <w:rsid w:val="00A16DDF"/>
    <w:rsid w:val="00A17062"/>
    <w:rsid w:val="00A203DC"/>
    <w:rsid w:val="00A20575"/>
    <w:rsid w:val="00A20EFB"/>
    <w:rsid w:val="00A20F80"/>
    <w:rsid w:val="00A21925"/>
    <w:rsid w:val="00A2218D"/>
    <w:rsid w:val="00A22DD7"/>
    <w:rsid w:val="00A23DCA"/>
    <w:rsid w:val="00A24191"/>
    <w:rsid w:val="00A254A2"/>
    <w:rsid w:val="00A25B12"/>
    <w:rsid w:val="00A25E45"/>
    <w:rsid w:val="00A2641C"/>
    <w:rsid w:val="00A26906"/>
    <w:rsid w:val="00A27428"/>
    <w:rsid w:val="00A27495"/>
    <w:rsid w:val="00A30959"/>
    <w:rsid w:val="00A30D71"/>
    <w:rsid w:val="00A3140E"/>
    <w:rsid w:val="00A31B12"/>
    <w:rsid w:val="00A31C81"/>
    <w:rsid w:val="00A31CD2"/>
    <w:rsid w:val="00A32C25"/>
    <w:rsid w:val="00A342CE"/>
    <w:rsid w:val="00A346A5"/>
    <w:rsid w:val="00A356B4"/>
    <w:rsid w:val="00A357DF"/>
    <w:rsid w:val="00A36360"/>
    <w:rsid w:val="00A3731E"/>
    <w:rsid w:val="00A376A2"/>
    <w:rsid w:val="00A37F8A"/>
    <w:rsid w:val="00A40C79"/>
    <w:rsid w:val="00A411A4"/>
    <w:rsid w:val="00A42B3E"/>
    <w:rsid w:val="00A443B7"/>
    <w:rsid w:val="00A44454"/>
    <w:rsid w:val="00A451B8"/>
    <w:rsid w:val="00A456D6"/>
    <w:rsid w:val="00A45884"/>
    <w:rsid w:val="00A45B0B"/>
    <w:rsid w:val="00A45E73"/>
    <w:rsid w:val="00A46567"/>
    <w:rsid w:val="00A4752C"/>
    <w:rsid w:val="00A4757D"/>
    <w:rsid w:val="00A479D4"/>
    <w:rsid w:val="00A50B0C"/>
    <w:rsid w:val="00A5173F"/>
    <w:rsid w:val="00A518EF"/>
    <w:rsid w:val="00A51A40"/>
    <w:rsid w:val="00A5227F"/>
    <w:rsid w:val="00A5271C"/>
    <w:rsid w:val="00A52968"/>
    <w:rsid w:val="00A52ECE"/>
    <w:rsid w:val="00A5387D"/>
    <w:rsid w:val="00A53910"/>
    <w:rsid w:val="00A53C22"/>
    <w:rsid w:val="00A541B3"/>
    <w:rsid w:val="00A54748"/>
    <w:rsid w:val="00A5475E"/>
    <w:rsid w:val="00A549A6"/>
    <w:rsid w:val="00A54B09"/>
    <w:rsid w:val="00A54C01"/>
    <w:rsid w:val="00A54F0B"/>
    <w:rsid w:val="00A55A95"/>
    <w:rsid w:val="00A56BB6"/>
    <w:rsid w:val="00A56CEE"/>
    <w:rsid w:val="00A57BB9"/>
    <w:rsid w:val="00A57BFE"/>
    <w:rsid w:val="00A57D2B"/>
    <w:rsid w:val="00A6007C"/>
    <w:rsid w:val="00A60867"/>
    <w:rsid w:val="00A60B04"/>
    <w:rsid w:val="00A619BA"/>
    <w:rsid w:val="00A61CEB"/>
    <w:rsid w:val="00A61FFF"/>
    <w:rsid w:val="00A62072"/>
    <w:rsid w:val="00A62D2E"/>
    <w:rsid w:val="00A63360"/>
    <w:rsid w:val="00A63B32"/>
    <w:rsid w:val="00A651DE"/>
    <w:rsid w:val="00A6732D"/>
    <w:rsid w:val="00A674BC"/>
    <w:rsid w:val="00A714AB"/>
    <w:rsid w:val="00A7259E"/>
    <w:rsid w:val="00A72814"/>
    <w:rsid w:val="00A72FB8"/>
    <w:rsid w:val="00A734CE"/>
    <w:rsid w:val="00A73637"/>
    <w:rsid w:val="00A73D97"/>
    <w:rsid w:val="00A75A86"/>
    <w:rsid w:val="00A76170"/>
    <w:rsid w:val="00A762EA"/>
    <w:rsid w:val="00A778A7"/>
    <w:rsid w:val="00A77A04"/>
    <w:rsid w:val="00A77AAF"/>
    <w:rsid w:val="00A77DAE"/>
    <w:rsid w:val="00A803FC"/>
    <w:rsid w:val="00A806B7"/>
    <w:rsid w:val="00A809D7"/>
    <w:rsid w:val="00A80B90"/>
    <w:rsid w:val="00A8384D"/>
    <w:rsid w:val="00A84189"/>
    <w:rsid w:val="00A8473A"/>
    <w:rsid w:val="00A86AE2"/>
    <w:rsid w:val="00A86FD7"/>
    <w:rsid w:val="00A90074"/>
    <w:rsid w:val="00A903E0"/>
    <w:rsid w:val="00A9059F"/>
    <w:rsid w:val="00A90D7B"/>
    <w:rsid w:val="00A9107A"/>
    <w:rsid w:val="00A91BEE"/>
    <w:rsid w:val="00A927A7"/>
    <w:rsid w:val="00A9297F"/>
    <w:rsid w:val="00A929BC"/>
    <w:rsid w:val="00A929CB"/>
    <w:rsid w:val="00A92BDE"/>
    <w:rsid w:val="00A93576"/>
    <w:rsid w:val="00A94469"/>
    <w:rsid w:val="00A9461D"/>
    <w:rsid w:val="00A94DDF"/>
    <w:rsid w:val="00A95043"/>
    <w:rsid w:val="00A958B5"/>
    <w:rsid w:val="00A95BBE"/>
    <w:rsid w:val="00A96189"/>
    <w:rsid w:val="00A974BC"/>
    <w:rsid w:val="00A97958"/>
    <w:rsid w:val="00A97F69"/>
    <w:rsid w:val="00AA04BB"/>
    <w:rsid w:val="00AA08BC"/>
    <w:rsid w:val="00AA08CA"/>
    <w:rsid w:val="00AA091E"/>
    <w:rsid w:val="00AA1067"/>
    <w:rsid w:val="00AA18D3"/>
    <w:rsid w:val="00AA1CD2"/>
    <w:rsid w:val="00AA1D04"/>
    <w:rsid w:val="00AA2189"/>
    <w:rsid w:val="00AA2725"/>
    <w:rsid w:val="00AA306E"/>
    <w:rsid w:val="00AA3127"/>
    <w:rsid w:val="00AA5496"/>
    <w:rsid w:val="00AA5A3F"/>
    <w:rsid w:val="00AA6DF4"/>
    <w:rsid w:val="00AA772D"/>
    <w:rsid w:val="00AB0930"/>
    <w:rsid w:val="00AB0D7D"/>
    <w:rsid w:val="00AB18CA"/>
    <w:rsid w:val="00AB1D80"/>
    <w:rsid w:val="00AB1E12"/>
    <w:rsid w:val="00AB21BE"/>
    <w:rsid w:val="00AB227E"/>
    <w:rsid w:val="00AB2893"/>
    <w:rsid w:val="00AB2E70"/>
    <w:rsid w:val="00AB3116"/>
    <w:rsid w:val="00AB3C68"/>
    <w:rsid w:val="00AB43FD"/>
    <w:rsid w:val="00AB4BE6"/>
    <w:rsid w:val="00AB618C"/>
    <w:rsid w:val="00AB6CA4"/>
    <w:rsid w:val="00AB7326"/>
    <w:rsid w:val="00AB73B0"/>
    <w:rsid w:val="00AB763D"/>
    <w:rsid w:val="00AB77AF"/>
    <w:rsid w:val="00AC0D67"/>
    <w:rsid w:val="00AC0F1E"/>
    <w:rsid w:val="00AC1824"/>
    <w:rsid w:val="00AC1EBF"/>
    <w:rsid w:val="00AC215D"/>
    <w:rsid w:val="00AC2178"/>
    <w:rsid w:val="00AC2960"/>
    <w:rsid w:val="00AC2B42"/>
    <w:rsid w:val="00AC3585"/>
    <w:rsid w:val="00AC397F"/>
    <w:rsid w:val="00AC4042"/>
    <w:rsid w:val="00AC46DF"/>
    <w:rsid w:val="00AC4985"/>
    <w:rsid w:val="00AC4F1B"/>
    <w:rsid w:val="00AC59DE"/>
    <w:rsid w:val="00AC5AE7"/>
    <w:rsid w:val="00AC5DDF"/>
    <w:rsid w:val="00AC5F57"/>
    <w:rsid w:val="00AC6622"/>
    <w:rsid w:val="00AC6E8A"/>
    <w:rsid w:val="00AC724A"/>
    <w:rsid w:val="00AC77F9"/>
    <w:rsid w:val="00AC7B44"/>
    <w:rsid w:val="00AC7FE4"/>
    <w:rsid w:val="00AD0272"/>
    <w:rsid w:val="00AD0478"/>
    <w:rsid w:val="00AD049B"/>
    <w:rsid w:val="00AD093B"/>
    <w:rsid w:val="00AD0C2C"/>
    <w:rsid w:val="00AD3288"/>
    <w:rsid w:val="00AD3A59"/>
    <w:rsid w:val="00AD45EB"/>
    <w:rsid w:val="00AD4BFC"/>
    <w:rsid w:val="00AD4C24"/>
    <w:rsid w:val="00AD5E51"/>
    <w:rsid w:val="00AD64D0"/>
    <w:rsid w:val="00AD6658"/>
    <w:rsid w:val="00AD6780"/>
    <w:rsid w:val="00AD6A0F"/>
    <w:rsid w:val="00AD72CC"/>
    <w:rsid w:val="00AD789C"/>
    <w:rsid w:val="00AE0196"/>
    <w:rsid w:val="00AE09E6"/>
    <w:rsid w:val="00AE3D63"/>
    <w:rsid w:val="00AE4073"/>
    <w:rsid w:val="00AE4600"/>
    <w:rsid w:val="00AE4608"/>
    <w:rsid w:val="00AE5596"/>
    <w:rsid w:val="00AE57B9"/>
    <w:rsid w:val="00AE60AF"/>
    <w:rsid w:val="00AE6B5B"/>
    <w:rsid w:val="00AE78D1"/>
    <w:rsid w:val="00AF016C"/>
    <w:rsid w:val="00AF0428"/>
    <w:rsid w:val="00AF0823"/>
    <w:rsid w:val="00AF094A"/>
    <w:rsid w:val="00AF1ED5"/>
    <w:rsid w:val="00AF2340"/>
    <w:rsid w:val="00AF2664"/>
    <w:rsid w:val="00AF2E20"/>
    <w:rsid w:val="00AF2E2D"/>
    <w:rsid w:val="00AF2F58"/>
    <w:rsid w:val="00AF32F5"/>
    <w:rsid w:val="00AF3FAD"/>
    <w:rsid w:val="00AF44AF"/>
    <w:rsid w:val="00AF4931"/>
    <w:rsid w:val="00AF4992"/>
    <w:rsid w:val="00AF5285"/>
    <w:rsid w:val="00AF578B"/>
    <w:rsid w:val="00AF611A"/>
    <w:rsid w:val="00AF7168"/>
    <w:rsid w:val="00AF7899"/>
    <w:rsid w:val="00AF7EAE"/>
    <w:rsid w:val="00AF7EC0"/>
    <w:rsid w:val="00B00335"/>
    <w:rsid w:val="00B00CB8"/>
    <w:rsid w:val="00B01D68"/>
    <w:rsid w:val="00B02C44"/>
    <w:rsid w:val="00B03643"/>
    <w:rsid w:val="00B03EC3"/>
    <w:rsid w:val="00B050F3"/>
    <w:rsid w:val="00B05D86"/>
    <w:rsid w:val="00B05DDB"/>
    <w:rsid w:val="00B06AE9"/>
    <w:rsid w:val="00B075F2"/>
    <w:rsid w:val="00B079A9"/>
    <w:rsid w:val="00B10408"/>
    <w:rsid w:val="00B109AF"/>
    <w:rsid w:val="00B10DC2"/>
    <w:rsid w:val="00B11EEB"/>
    <w:rsid w:val="00B12268"/>
    <w:rsid w:val="00B12727"/>
    <w:rsid w:val="00B131AB"/>
    <w:rsid w:val="00B144B1"/>
    <w:rsid w:val="00B14B06"/>
    <w:rsid w:val="00B14FCC"/>
    <w:rsid w:val="00B15034"/>
    <w:rsid w:val="00B154AD"/>
    <w:rsid w:val="00B1618D"/>
    <w:rsid w:val="00B16761"/>
    <w:rsid w:val="00B167AF"/>
    <w:rsid w:val="00B167D6"/>
    <w:rsid w:val="00B1707A"/>
    <w:rsid w:val="00B17623"/>
    <w:rsid w:val="00B176CD"/>
    <w:rsid w:val="00B179E7"/>
    <w:rsid w:val="00B17E5A"/>
    <w:rsid w:val="00B2082F"/>
    <w:rsid w:val="00B20B1D"/>
    <w:rsid w:val="00B20E29"/>
    <w:rsid w:val="00B21561"/>
    <w:rsid w:val="00B21A36"/>
    <w:rsid w:val="00B21BE7"/>
    <w:rsid w:val="00B226F6"/>
    <w:rsid w:val="00B22B9B"/>
    <w:rsid w:val="00B22C7D"/>
    <w:rsid w:val="00B22FBF"/>
    <w:rsid w:val="00B23659"/>
    <w:rsid w:val="00B2402E"/>
    <w:rsid w:val="00B24343"/>
    <w:rsid w:val="00B2478F"/>
    <w:rsid w:val="00B24DB0"/>
    <w:rsid w:val="00B254D8"/>
    <w:rsid w:val="00B26520"/>
    <w:rsid w:val="00B268B7"/>
    <w:rsid w:val="00B26F17"/>
    <w:rsid w:val="00B2775A"/>
    <w:rsid w:val="00B3033E"/>
    <w:rsid w:val="00B30AEB"/>
    <w:rsid w:val="00B322ED"/>
    <w:rsid w:val="00B32425"/>
    <w:rsid w:val="00B32623"/>
    <w:rsid w:val="00B327D9"/>
    <w:rsid w:val="00B329D9"/>
    <w:rsid w:val="00B3308A"/>
    <w:rsid w:val="00B330FE"/>
    <w:rsid w:val="00B33415"/>
    <w:rsid w:val="00B33A16"/>
    <w:rsid w:val="00B33CBD"/>
    <w:rsid w:val="00B3423E"/>
    <w:rsid w:val="00B3498D"/>
    <w:rsid w:val="00B34EC1"/>
    <w:rsid w:val="00B35256"/>
    <w:rsid w:val="00B3566C"/>
    <w:rsid w:val="00B357B9"/>
    <w:rsid w:val="00B35D3E"/>
    <w:rsid w:val="00B376A5"/>
    <w:rsid w:val="00B407A3"/>
    <w:rsid w:val="00B41169"/>
    <w:rsid w:val="00B41961"/>
    <w:rsid w:val="00B41C30"/>
    <w:rsid w:val="00B42A55"/>
    <w:rsid w:val="00B42D8A"/>
    <w:rsid w:val="00B43252"/>
    <w:rsid w:val="00B43295"/>
    <w:rsid w:val="00B440AB"/>
    <w:rsid w:val="00B4486C"/>
    <w:rsid w:val="00B44EFF"/>
    <w:rsid w:val="00B45154"/>
    <w:rsid w:val="00B4627B"/>
    <w:rsid w:val="00B466C7"/>
    <w:rsid w:val="00B46713"/>
    <w:rsid w:val="00B471DE"/>
    <w:rsid w:val="00B47EAF"/>
    <w:rsid w:val="00B47F0E"/>
    <w:rsid w:val="00B5017E"/>
    <w:rsid w:val="00B5038B"/>
    <w:rsid w:val="00B50FFF"/>
    <w:rsid w:val="00B525F8"/>
    <w:rsid w:val="00B53815"/>
    <w:rsid w:val="00B54340"/>
    <w:rsid w:val="00B5438B"/>
    <w:rsid w:val="00B54640"/>
    <w:rsid w:val="00B55268"/>
    <w:rsid w:val="00B56056"/>
    <w:rsid w:val="00B57477"/>
    <w:rsid w:val="00B57A79"/>
    <w:rsid w:val="00B57BD9"/>
    <w:rsid w:val="00B57C1E"/>
    <w:rsid w:val="00B61118"/>
    <w:rsid w:val="00B61B28"/>
    <w:rsid w:val="00B61DEC"/>
    <w:rsid w:val="00B61EBD"/>
    <w:rsid w:val="00B62175"/>
    <w:rsid w:val="00B624FA"/>
    <w:rsid w:val="00B626B7"/>
    <w:rsid w:val="00B628D1"/>
    <w:rsid w:val="00B62A49"/>
    <w:rsid w:val="00B63D21"/>
    <w:rsid w:val="00B64A89"/>
    <w:rsid w:val="00B64E10"/>
    <w:rsid w:val="00B65517"/>
    <w:rsid w:val="00B676E7"/>
    <w:rsid w:val="00B67AC9"/>
    <w:rsid w:val="00B67B53"/>
    <w:rsid w:val="00B701F1"/>
    <w:rsid w:val="00B717AA"/>
    <w:rsid w:val="00B725BC"/>
    <w:rsid w:val="00B725E0"/>
    <w:rsid w:val="00B7270E"/>
    <w:rsid w:val="00B72E9C"/>
    <w:rsid w:val="00B73875"/>
    <w:rsid w:val="00B73D74"/>
    <w:rsid w:val="00B73DD7"/>
    <w:rsid w:val="00B73E80"/>
    <w:rsid w:val="00B74093"/>
    <w:rsid w:val="00B746AE"/>
    <w:rsid w:val="00B74DD7"/>
    <w:rsid w:val="00B75864"/>
    <w:rsid w:val="00B758CA"/>
    <w:rsid w:val="00B761A5"/>
    <w:rsid w:val="00B7674C"/>
    <w:rsid w:val="00B775A0"/>
    <w:rsid w:val="00B7785D"/>
    <w:rsid w:val="00B77C2B"/>
    <w:rsid w:val="00B80112"/>
    <w:rsid w:val="00B804BF"/>
    <w:rsid w:val="00B8062F"/>
    <w:rsid w:val="00B8069B"/>
    <w:rsid w:val="00B80813"/>
    <w:rsid w:val="00B813AB"/>
    <w:rsid w:val="00B81EDC"/>
    <w:rsid w:val="00B83FCF"/>
    <w:rsid w:val="00B84664"/>
    <w:rsid w:val="00B84729"/>
    <w:rsid w:val="00B8537F"/>
    <w:rsid w:val="00B85E16"/>
    <w:rsid w:val="00B863BA"/>
    <w:rsid w:val="00B8729E"/>
    <w:rsid w:val="00B87B40"/>
    <w:rsid w:val="00B87ED2"/>
    <w:rsid w:val="00B90174"/>
    <w:rsid w:val="00B91827"/>
    <w:rsid w:val="00B91830"/>
    <w:rsid w:val="00B91BE6"/>
    <w:rsid w:val="00B921AA"/>
    <w:rsid w:val="00B92E72"/>
    <w:rsid w:val="00B93262"/>
    <w:rsid w:val="00B93292"/>
    <w:rsid w:val="00B93BE9"/>
    <w:rsid w:val="00B93D20"/>
    <w:rsid w:val="00B9430B"/>
    <w:rsid w:val="00B943E5"/>
    <w:rsid w:val="00B95212"/>
    <w:rsid w:val="00B967A8"/>
    <w:rsid w:val="00B96922"/>
    <w:rsid w:val="00B969E2"/>
    <w:rsid w:val="00B97E22"/>
    <w:rsid w:val="00BA03D9"/>
    <w:rsid w:val="00BA165A"/>
    <w:rsid w:val="00BA1D83"/>
    <w:rsid w:val="00BA294C"/>
    <w:rsid w:val="00BA2A27"/>
    <w:rsid w:val="00BA4BFD"/>
    <w:rsid w:val="00BA54B0"/>
    <w:rsid w:val="00BA58DA"/>
    <w:rsid w:val="00BA5950"/>
    <w:rsid w:val="00BA678F"/>
    <w:rsid w:val="00BA6B0B"/>
    <w:rsid w:val="00BB0742"/>
    <w:rsid w:val="00BB1AB6"/>
    <w:rsid w:val="00BB2C7A"/>
    <w:rsid w:val="00BB36B1"/>
    <w:rsid w:val="00BB39C2"/>
    <w:rsid w:val="00BB3E28"/>
    <w:rsid w:val="00BB4184"/>
    <w:rsid w:val="00BB444C"/>
    <w:rsid w:val="00BB44EB"/>
    <w:rsid w:val="00BB47F9"/>
    <w:rsid w:val="00BB4904"/>
    <w:rsid w:val="00BB4AE8"/>
    <w:rsid w:val="00BB4F4D"/>
    <w:rsid w:val="00BB5197"/>
    <w:rsid w:val="00BB51B8"/>
    <w:rsid w:val="00BB5447"/>
    <w:rsid w:val="00BB56DD"/>
    <w:rsid w:val="00BB60C8"/>
    <w:rsid w:val="00BB621B"/>
    <w:rsid w:val="00BB6673"/>
    <w:rsid w:val="00BB66E6"/>
    <w:rsid w:val="00BB6DF2"/>
    <w:rsid w:val="00BB724C"/>
    <w:rsid w:val="00BB7481"/>
    <w:rsid w:val="00BB7BA8"/>
    <w:rsid w:val="00BB7DBC"/>
    <w:rsid w:val="00BB7E57"/>
    <w:rsid w:val="00BC009A"/>
    <w:rsid w:val="00BC0322"/>
    <w:rsid w:val="00BC066C"/>
    <w:rsid w:val="00BC0A9C"/>
    <w:rsid w:val="00BC1718"/>
    <w:rsid w:val="00BC1A1E"/>
    <w:rsid w:val="00BC1A6A"/>
    <w:rsid w:val="00BC21FD"/>
    <w:rsid w:val="00BC2A76"/>
    <w:rsid w:val="00BC39DB"/>
    <w:rsid w:val="00BC493F"/>
    <w:rsid w:val="00BC4B92"/>
    <w:rsid w:val="00BC4F70"/>
    <w:rsid w:val="00BC508A"/>
    <w:rsid w:val="00BC576D"/>
    <w:rsid w:val="00BC642D"/>
    <w:rsid w:val="00BC649A"/>
    <w:rsid w:val="00BC7448"/>
    <w:rsid w:val="00BC7550"/>
    <w:rsid w:val="00BD04AA"/>
    <w:rsid w:val="00BD0DC6"/>
    <w:rsid w:val="00BD14E6"/>
    <w:rsid w:val="00BD2F84"/>
    <w:rsid w:val="00BD31B6"/>
    <w:rsid w:val="00BD350F"/>
    <w:rsid w:val="00BD3A6E"/>
    <w:rsid w:val="00BD3CFF"/>
    <w:rsid w:val="00BD4683"/>
    <w:rsid w:val="00BD48CA"/>
    <w:rsid w:val="00BD4B43"/>
    <w:rsid w:val="00BD56E9"/>
    <w:rsid w:val="00BD6B15"/>
    <w:rsid w:val="00BD6CBE"/>
    <w:rsid w:val="00BD6E31"/>
    <w:rsid w:val="00BD6F61"/>
    <w:rsid w:val="00BD7C31"/>
    <w:rsid w:val="00BE0E3E"/>
    <w:rsid w:val="00BE1D61"/>
    <w:rsid w:val="00BE2626"/>
    <w:rsid w:val="00BE2B31"/>
    <w:rsid w:val="00BE36F9"/>
    <w:rsid w:val="00BE407D"/>
    <w:rsid w:val="00BE42B8"/>
    <w:rsid w:val="00BE4C1A"/>
    <w:rsid w:val="00BE58BA"/>
    <w:rsid w:val="00BE5EBD"/>
    <w:rsid w:val="00BE5FC4"/>
    <w:rsid w:val="00BE6850"/>
    <w:rsid w:val="00BE6F08"/>
    <w:rsid w:val="00BF0384"/>
    <w:rsid w:val="00BF0520"/>
    <w:rsid w:val="00BF117C"/>
    <w:rsid w:val="00BF14D5"/>
    <w:rsid w:val="00BF225D"/>
    <w:rsid w:val="00BF25A7"/>
    <w:rsid w:val="00BF292A"/>
    <w:rsid w:val="00BF2D13"/>
    <w:rsid w:val="00BF349D"/>
    <w:rsid w:val="00BF3752"/>
    <w:rsid w:val="00BF4ECC"/>
    <w:rsid w:val="00BF516E"/>
    <w:rsid w:val="00BF52D7"/>
    <w:rsid w:val="00BF6668"/>
    <w:rsid w:val="00BF75BC"/>
    <w:rsid w:val="00BF790A"/>
    <w:rsid w:val="00C007D1"/>
    <w:rsid w:val="00C00A8A"/>
    <w:rsid w:val="00C010D5"/>
    <w:rsid w:val="00C01470"/>
    <w:rsid w:val="00C020BE"/>
    <w:rsid w:val="00C0218F"/>
    <w:rsid w:val="00C02191"/>
    <w:rsid w:val="00C035CD"/>
    <w:rsid w:val="00C0375E"/>
    <w:rsid w:val="00C04218"/>
    <w:rsid w:val="00C04374"/>
    <w:rsid w:val="00C043CE"/>
    <w:rsid w:val="00C04573"/>
    <w:rsid w:val="00C045C8"/>
    <w:rsid w:val="00C04600"/>
    <w:rsid w:val="00C046C4"/>
    <w:rsid w:val="00C0556D"/>
    <w:rsid w:val="00C0567F"/>
    <w:rsid w:val="00C057E8"/>
    <w:rsid w:val="00C05D06"/>
    <w:rsid w:val="00C06252"/>
    <w:rsid w:val="00C06B5D"/>
    <w:rsid w:val="00C06F7B"/>
    <w:rsid w:val="00C06FA3"/>
    <w:rsid w:val="00C11372"/>
    <w:rsid w:val="00C11BBE"/>
    <w:rsid w:val="00C12100"/>
    <w:rsid w:val="00C12343"/>
    <w:rsid w:val="00C12A1A"/>
    <w:rsid w:val="00C12CD1"/>
    <w:rsid w:val="00C131F7"/>
    <w:rsid w:val="00C133F0"/>
    <w:rsid w:val="00C13849"/>
    <w:rsid w:val="00C1408E"/>
    <w:rsid w:val="00C1465D"/>
    <w:rsid w:val="00C155BA"/>
    <w:rsid w:val="00C1704C"/>
    <w:rsid w:val="00C17654"/>
    <w:rsid w:val="00C17831"/>
    <w:rsid w:val="00C207D4"/>
    <w:rsid w:val="00C208A4"/>
    <w:rsid w:val="00C20A09"/>
    <w:rsid w:val="00C20A8D"/>
    <w:rsid w:val="00C20C18"/>
    <w:rsid w:val="00C20C5C"/>
    <w:rsid w:val="00C20E88"/>
    <w:rsid w:val="00C20F4F"/>
    <w:rsid w:val="00C210C9"/>
    <w:rsid w:val="00C2190F"/>
    <w:rsid w:val="00C221A2"/>
    <w:rsid w:val="00C23458"/>
    <w:rsid w:val="00C2348D"/>
    <w:rsid w:val="00C235AA"/>
    <w:rsid w:val="00C249B4"/>
    <w:rsid w:val="00C24B3F"/>
    <w:rsid w:val="00C24E45"/>
    <w:rsid w:val="00C250C8"/>
    <w:rsid w:val="00C25780"/>
    <w:rsid w:val="00C26071"/>
    <w:rsid w:val="00C2741A"/>
    <w:rsid w:val="00C27609"/>
    <w:rsid w:val="00C30447"/>
    <w:rsid w:val="00C306CB"/>
    <w:rsid w:val="00C31747"/>
    <w:rsid w:val="00C31FD3"/>
    <w:rsid w:val="00C333EA"/>
    <w:rsid w:val="00C33567"/>
    <w:rsid w:val="00C336AB"/>
    <w:rsid w:val="00C338B8"/>
    <w:rsid w:val="00C34B0E"/>
    <w:rsid w:val="00C34E18"/>
    <w:rsid w:val="00C3522E"/>
    <w:rsid w:val="00C35922"/>
    <w:rsid w:val="00C35FEA"/>
    <w:rsid w:val="00C36254"/>
    <w:rsid w:val="00C36792"/>
    <w:rsid w:val="00C36CA6"/>
    <w:rsid w:val="00C375F9"/>
    <w:rsid w:val="00C37688"/>
    <w:rsid w:val="00C40791"/>
    <w:rsid w:val="00C41C62"/>
    <w:rsid w:val="00C41C88"/>
    <w:rsid w:val="00C4236E"/>
    <w:rsid w:val="00C42B28"/>
    <w:rsid w:val="00C42C03"/>
    <w:rsid w:val="00C4313C"/>
    <w:rsid w:val="00C43A3A"/>
    <w:rsid w:val="00C44BA6"/>
    <w:rsid w:val="00C45005"/>
    <w:rsid w:val="00C45033"/>
    <w:rsid w:val="00C45447"/>
    <w:rsid w:val="00C45BA0"/>
    <w:rsid w:val="00C45EF2"/>
    <w:rsid w:val="00C4620F"/>
    <w:rsid w:val="00C473DF"/>
    <w:rsid w:val="00C478DF"/>
    <w:rsid w:val="00C47A0C"/>
    <w:rsid w:val="00C47CC6"/>
    <w:rsid w:val="00C47CEE"/>
    <w:rsid w:val="00C5032F"/>
    <w:rsid w:val="00C505F4"/>
    <w:rsid w:val="00C509C9"/>
    <w:rsid w:val="00C511D9"/>
    <w:rsid w:val="00C52D5E"/>
    <w:rsid w:val="00C52EB6"/>
    <w:rsid w:val="00C5340C"/>
    <w:rsid w:val="00C5356E"/>
    <w:rsid w:val="00C53702"/>
    <w:rsid w:val="00C53F05"/>
    <w:rsid w:val="00C53FE5"/>
    <w:rsid w:val="00C54278"/>
    <w:rsid w:val="00C545FA"/>
    <w:rsid w:val="00C549F3"/>
    <w:rsid w:val="00C54AF9"/>
    <w:rsid w:val="00C563C2"/>
    <w:rsid w:val="00C577CA"/>
    <w:rsid w:val="00C578D7"/>
    <w:rsid w:val="00C57E94"/>
    <w:rsid w:val="00C60C13"/>
    <w:rsid w:val="00C60CFA"/>
    <w:rsid w:val="00C61AC3"/>
    <w:rsid w:val="00C628DF"/>
    <w:rsid w:val="00C6350E"/>
    <w:rsid w:val="00C6393B"/>
    <w:rsid w:val="00C63E2D"/>
    <w:rsid w:val="00C64248"/>
    <w:rsid w:val="00C651A8"/>
    <w:rsid w:val="00C6535D"/>
    <w:rsid w:val="00C6561A"/>
    <w:rsid w:val="00C658B6"/>
    <w:rsid w:val="00C6661E"/>
    <w:rsid w:val="00C70077"/>
    <w:rsid w:val="00C71306"/>
    <w:rsid w:val="00C7296F"/>
    <w:rsid w:val="00C7332B"/>
    <w:rsid w:val="00C73590"/>
    <w:rsid w:val="00C73B1C"/>
    <w:rsid w:val="00C74163"/>
    <w:rsid w:val="00C746DE"/>
    <w:rsid w:val="00C74985"/>
    <w:rsid w:val="00C75224"/>
    <w:rsid w:val="00C75381"/>
    <w:rsid w:val="00C75393"/>
    <w:rsid w:val="00C75788"/>
    <w:rsid w:val="00C7593B"/>
    <w:rsid w:val="00C75969"/>
    <w:rsid w:val="00C76437"/>
    <w:rsid w:val="00C76CE8"/>
    <w:rsid w:val="00C7708D"/>
    <w:rsid w:val="00C77B3D"/>
    <w:rsid w:val="00C77E41"/>
    <w:rsid w:val="00C80BDD"/>
    <w:rsid w:val="00C8190C"/>
    <w:rsid w:val="00C81917"/>
    <w:rsid w:val="00C822DC"/>
    <w:rsid w:val="00C8254F"/>
    <w:rsid w:val="00C82B23"/>
    <w:rsid w:val="00C82BF7"/>
    <w:rsid w:val="00C82F7B"/>
    <w:rsid w:val="00C83A51"/>
    <w:rsid w:val="00C845A1"/>
    <w:rsid w:val="00C847CE"/>
    <w:rsid w:val="00C85621"/>
    <w:rsid w:val="00C85EF8"/>
    <w:rsid w:val="00C871EF"/>
    <w:rsid w:val="00C87854"/>
    <w:rsid w:val="00C87A61"/>
    <w:rsid w:val="00C87D2F"/>
    <w:rsid w:val="00C90B2D"/>
    <w:rsid w:val="00C91CBE"/>
    <w:rsid w:val="00C91E6C"/>
    <w:rsid w:val="00C91F7A"/>
    <w:rsid w:val="00C91FC6"/>
    <w:rsid w:val="00C92BE0"/>
    <w:rsid w:val="00C92E9E"/>
    <w:rsid w:val="00C931C1"/>
    <w:rsid w:val="00C9387D"/>
    <w:rsid w:val="00C939B8"/>
    <w:rsid w:val="00C93B51"/>
    <w:rsid w:val="00C941FA"/>
    <w:rsid w:val="00C95541"/>
    <w:rsid w:val="00C95A40"/>
    <w:rsid w:val="00C95A76"/>
    <w:rsid w:val="00C95F8B"/>
    <w:rsid w:val="00C9650B"/>
    <w:rsid w:val="00C9695D"/>
    <w:rsid w:val="00C97C47"/>
    <w:rsid w:val="00C97CCD"/>
    <w:rsid w:val="00CA0DF5"/>
    <w:rsid w:val="00CA2FFA"/>
    <w:rsid w:val="00CA3246"/>
    <w:rsid w:val="00CA402B"/>
    <w:rsid w:val="00CA42BC"/>
    <w:rsid w:val="00CA47FC"/>
    <w:rsid w:val="00CA4CB3"/>
    <w:rsid w:val="00CA4E24"/>
    <w:rsid w:val="00CA5648"/>
    <w:rsid w:val="00CA5886"/>
    <w:rsid w:val="00CA68B3"/>
    <w:rsid w:val="00CA6970"/>
    <w:rsid w:val="00CA69E0"/>
    <w:rsid w:val="00CA75B2"/>
    <w:rsid w:val="00CA7CE6"/>
    <w:rsid w:val="00CB182C"/>
    <w:rsid w:val="00CB1A68"/>
    <w:rsid w:val="00CB1AB4"/>
    <w:rsid w:val="00CB1C75"/>
    <w:rsid w:val="00CB1D44"/>
    <w:rsid w:val="00CB1D83"/>
    <w:rsid w:val="00CB1FA3"/>
    <w:rsid w:val="00CB2930"/>
    <w:rsid w:val="00CB2A0E"/>
    <w:rsid w:val="00CB3260"/>
    <w:rsid w:val="00CB3BED"/>
    <w:rsid w:val="00CB3C6A"/>
    <w:rsid w:val="00CB485D"/>
    <w:rsid w:val="00CB498B"/>
    <w:rsid w:val="00CB4AB0"/>
    <w:rsid w:val="00CB4AC0"/>
    <w:rsid w:val="00CB58A1"/>
    <w:rsid w:val="00CB595B"/>
    <w:rsid w:val="00CB5C0E"/>
    <w:rsid w:val="00CB64C2"/>
    <w:rsid w:val="00CB6AB0"/>
    <w:rsid w:val="00CB70E9"/>
    <w:rsid w:val="00CB752E"/>
    <w:rsid w:val="00CC0AD4"/>
    <w:rsid w:val="00CC0BA4"/>
    <w:rsid w:val="00CC15ED"/>
    <w:rsid w:val="00CC1C85"/>
    <w:rsid w:val="00CC1E18"/>
    <w:rsid w:val="00CC1EBF"/>
    <w:rsid w:val="00CC265B"/>
    <w:rsid w:val="00CC384E"/>
    <w:rsid w:val="00CC3CAD"/>
    <w:rsid w:val="00CC3F3C"/>
    <w:rsid w:val="00CC4108"/>
    <w:rsid w:val="00CC458B"/>
    <w:rsid w:val="00CC468F"/>
    <w:rsid w:val="00CC47EE"/>
    <w:rsid w:val="00CC4D61"/>
    <w:rsid w:val="00CC5019"/>
    <w:rsid w:val="00CC5913"/>
    <w:rsid w:val="00CC5CA9"/>
    <w:rsid w:val="00CC5F84"/>
    <w:rsid w:val="00CC73F0"/>
    <w:rsid w:val="00CC7CBC"/>
    <w:rsid w:val="00CD092C"/>
    <w:rsid w:val="00CD0DDD"/>
    <w:rsid w:val="00CD0FE2"/>
    <w:rsid w:val="00CD10F2"/>
    <w:rsid w:val="00CD1394"/>
    <w:rsid w:val="00CD1438"/>
    <w:rsid w:val="00CD1D69"/>
    <w:rsid w:val="00CD2BED"/>
    <w:rsid w:val="00CD2FA6"/>
    <w:rsid w:val="00CD2FBD"/>
    <w:rsid w:val="00CD36DC"/>
    <w:rsid w:val="00CD39BC"/>
    <w:rsid w:val="00CD594B"/>
    <w:rsid w:val="00CD6AF1"/>
    <w:rsid w:val="00CD77FD"/>
    <w:rsid w:val="00CD7D20"/>
    <w:rsid w:val="00CE0C47"/>
    <w:rsid w:val="00CE18A2"/>
    <w:rsid w:val="00CE2769"/>
    <w:rsid w:val="00CE2F75"/>
    <w:rsid w:val="00CE360C"/>
    <w:rsid w:val="00CE45A1"/>
    <w:rsid w:val="00CE4B28"/>
    <w:rsid w:val="00CE5827"/>
    <w:rsid w:val="00CE605F"/>
    <w:rsid w:val="00CE6A35"/>
    <w:rsid w:val="00CE6DF2"/>
    <w:rsid w:val="00CE6F8D"/>
    <w:rsid w:val="00CE749D"/>
    <w:rsid w:val="00CE7507"/>
    <w:rsid w:val="00CE7F90"/>
    <w:rsid w:val="00CE7FAE"/>
    <w:rsid w:val="00CF02A5"/>
    <w:rsid w:val="00CF0B23"/>
    <w:rsid w:val="00CF0BF8"/>
    <w:rsid w:val="00CF0DA9"/>
    <w:rsid w:val="00CF0EF4"/>
    <w:rsid w:val="00CF0FC8"/>
    <w:rsid w:val="00CF132E"/>
    <w:rsid w:val="00CF1362"/>
    <w:rsid w:val="00CF144B"/>
    <w:rsid w:val="00CF2AF9"/>
    <w:rsid w:val="00CF2BF4"/>
    <w:rsid w:val="00CF3A5D"/>
    <w:rsid w:val="00CF3A67"/>
    <w:rsid w:val="00CF3A7E"/>
    <w:rsid w:val="00CF401C"/>
    <w:rsid w:val="00CF4258"/>
    <w:rsid w:val="00CF5127"/>
    <w:rsid w:val="00CF5356"/>
    <w:rsid w:val="00CF53D8"/>
    <w:rsid w:val="00CF6FF8"/>
    <w:rsid w:val="00CF7103"/>
    <w:rsid w:val="00CF7124"/>
    <w:rsid w:val="00CF7292"/>
    <w:rsid w:val="00CF72A3"/>
    <w:rsid w:val="00CF7C00"/>
    <w:rsid w:val="00CF7DB6"/>
    <w:rsid w:val="00D01E95"/>
    <w:rsid w:val="00D028FB"/>
    <w:rsid w:val="00D02E98"/>
    <w:rsid w:val="00D04F0F"/>
    <w:rsid w:val="00D04FA8"/>
    <w:rsid w:val="00D05349"/>
    <w:rsid w:val="00D06B36"/>
    <w:rsid w:val="00D1026A"/>
    <w:rsid w:val="00D10276"/>
    <w:rsid w:val="00D10DC2"/>
    <w:rsid w:val="00D11138"/>
    <w:rsid w:val="00D11545"/>
    <w:rsid w:val="00D115F2"/>
    <w:rsid w:val="00D1229D"/>
    <w:rsid w:val="00D12749"/>
    <w:rsid w:val="00D1321D"/>
    <w:rsid w:val="00D13C44"/>
    <w:rsid w:val="00D13E35"/>
    <w:rsid w:val="00D13F3B"/>
    <w:rsid w:val="00D15480"/>
    <w:rsid w:val="00D15895"/>
    <w:rsid w:val="00D158E7"/>
    <w:rsid w:val="00D15D02"/>
    <w:rsid w:val="00D15F65"/>
    <w:rsid w:val="00D1601F"/>
    <w:rsid w:val="00D16252"/>
    <w:rsid w:val="00D16545"/>
    <w:rsid w:val="00D16F3E"/>
    <w:rsid w:val="00D1724B"/>
    <w:rsid w:val="00D17408"/>
    <w:rsid w:val="00D17531"/>
    <w:rsid w:val="00D17A0F"/>
    <w:rsid w:val="00D20B1B"/>
    <w:rsid w:val="00D20CC9"/>
    <w:rsid w:val="00D20D45"/>
    <w:rsid w:val="00D215A2"/>
    <w:rsid w:val="00D216F2"/>
    <w:rsid w:val="00D21945"/>
    <w:rsid w:val="00D22C9D"/>
    <w:rsid w:val="00D22FEF"/>
    <w:rsid w:val="00D23051"/>
    <w:rsid w:val="00D2328C"/>
    <w:rsid w:val="00D23E77"/>
    <w:rsid w:val="00D242BD"/>
    <w:rsid w:val="00D2442A"/>
    <w:rsid w:val="00D24E90"/>
    <w:rsid w:val="00D24F21"/>
    <w:rsid w:val="00D2505A"/>
    <w:rsid w:val="00D26032"/>
    <w:rsid w:val="00D26A7D"/>
    <w:rsid w:val="00D26AB5"/>
    <w:rsid w:val="00D272A7"/>
    <w:rsid w:val="00D275C1"/>
    <w:rsid w:val="00D3018C"/>
    <w:rsid w:val="00D301BD"/>
    <w:rsid w:val="00D30370"/>
    <w:rsid w:val="00D309D9"/>
    <w:rsid w:val="00D310F2"/>
    <w:rsid w:val="00D31C9F"/>
    <w:rsid w:val="00D31D24"/>
    <w:rsid w:val="00D32BF0"/>
    <w:rsid w:val="00D3376E"/>
    <w:rsid w:val="00D33AC7"/>
    <w:rsid w:val="00D3440B"/>
    <w:rsid w:val="00D35006"/>
    <w:rsid w:val="00D35348"/>
    <w:rsid w:val="00D354DC"/>
    <w:rsid w:val="00D35A3A"/>
    <w:rsid w:val="00D35C35"/>
    <w:rsid w:val="00D3681E"/>
    <w:rsid w:val="00D378A4"/>
    <w:rsid w:val="00D40D6A"/>
    <w:rsid w:val="00D425E0"/>
    <w:rsid w:val="00D4284A"/>
    <w:rsid w:val="00D4316D"/>
    <w:rsid w:val="00D43CBA"/>
    <w:rsid w:val="00D43E01"/>
    <w:rsid w:val="00D43E07"/>
    <w:rsid w:val="00D44851"/>
    <w:rsid w:val="00D449B0"/>
    <w:rsid w:val="00D44C7E"/>
    <w:rsid w:val="00D44EE0"/>
    <w:rsid w:val="00D450DB"/>
    <w:rsid w:val="00D4560B"/>
    <w:rsid w:val="00D47107"/>
    <w:rsid w:val="00D50333"/>
    <w:rsid w:val="00D50DF8"/>
    <w:rsid w:val="00D5202B"/>
    <w:rsid w:val="00D54287"/>
    <w:rsid w:val="00D553E9"/>
    <w:rsid w:val="00D56C2F"/>
    <w:rsid w:val="00D608C2"/>
    <w:rsid w:val="00D6120B"/>
    <w:rsid w:val="00D614FD"/>
    <w:rsid w:val="00D61FA4"/>
    <w:rsid w:val="00D62758"/>
    <w:rsid w:val="00D63022"/>
    <w:rsid w:val="00D6313D"/>
    <w:rsid w:val="00D640E1"/>
    <w:rsid w:val="00D64BAF"/>
    <w:rsid w:val="00D65BA0"/>
    <w:rsid w:val="00D66437"/>
    <w:rsid w:val="00D66D96"/>
    <w:rsid w:val="00D70691"/>
    <w:rsid w:val="00D70E3D"/>
    <w:rsid w:val="00D70FE7"/>
    <w:rsid w:val="00D710AC"/>
    <w:rsid w:val="00D71263"/>
    <w:rsid w:val="00D7185A"/>
    <w:rsid w:val="00D71B8D"/>
    <w:rsid w:val="00D71DA8"/>
    <w:rsid w:val="00D72243"/>
    <w:rsid w:val="00D73EBD"/>
    <w:rsid w:val="00D74DC2"/>
    <w:rsid w:val="00D75BF4"/>
    <w:rsid w:val="00D7617A"/>
    <w:rsid w:val="00D76431"/>
    <w:rsid w:val="00D76ABE"/>
    <w:rsid w:val="00D76C42"/>
    <w:rsid w:val="00D776CB"/>
    <w:rsid w:val="00D801A6"/>
    <w:rsid w:val="00D80326"/>
    <w:rsid w:val="00D803CE"/>
    <w:rsid w:val="00D804D8"/>
    <w:rsid w:val="00D81887"/>
    <w:rsid w:val="00D818A2"/>
    <w:rsid w:val="00D8196B"/>
    <w:rsid w:val="00D84E2D"/>
    <w:rsid w:val="00D850D4"/>
    <w:rsid w:val="00D851C1"/>
    <w:rsid w:val="00D86259"/>
    <w:rsid w:val="00D8638E"/>
    <w:rsid w:val="00D86570"/>
    <w:rsid w:val="00D86878"/>
    <w:rsid w:val="00D873C3"/>
    <w:rsid w:val="00D9038A"/>
    <w:rsid w:val="00D90700"/>
    <w:rsid w:val="00D91213"/>
    <w:rsid w:val="00D91580"/>
    <w:rsid w:val="00D917A7"/>
    <w:rsid w:val="00D9196E"/>
    <w:rsid w:val="00D91C23"/>
    <w:rsid w:val="00D949CE"/>
    <w:rsid w:val="00D95213"/>
    <w:rsid w:val="00D953B8"/>
    <w:rsid w:val="00D955F5"/>
    <w:rsid w:val="00D95882"/>
    <w:rsid w:val="00D966D5"/>
    <w:rsid w:val="00D96CDC"/>
    <w:rsid w:val="00D97BFA"/>
    <w:rsid w:val="00DA06DB"/>
    <w:rsid w:val="00DA0EF1"/>
    <w:rsid w:val="00DA0F70"/>
    <w:rsid w:val="00DA1127"/>
    <w:rsid w:val="00DA132A"/>
    <w:rsid w:val="00DA1F91"/>
    <w:rsid w:val="00DA20A8"/>
    <w:rsid w:val="00DA35B2"/>
    <w:rsid w:val="00DA3C97"/>
    <w:rsid w:val="00DA5CAD"/>
    <w:rsid w:val="00DA6568"/>
    <w:rsid w:val="00DB0EE5"/>
    <w:rsid w:val="00DB1662"/>
    <w:rsid w:val="00DB1D5E"/>
    <w:rsid w:val="00DB1EE0"/>
    <w:rsid w:val="00DB2EED"/>
    <w:rsid w:val="00DB34DC"/>
    <w:rsid w:val="00DB3AA7"/>
    <w:rsid w:val="00DB43FD"/>
    <w:rsid w:val="00DB4D84"/>
    <w:rsid w:val="00DB63E3"/>
    <w:rsid w:val="00DC029E"/>
    <w:rsid w:val="00DC1B45"/>
    <w:rsid w:val="00DC1EF1"/>
    <w:rsid w:val="00DC2801"/>
    <w:rsid w:val="00DC2C12"/>
    <w:rsid w:val="00DC394D"/>
    <w:rsid w:val="00DC3B0C"/>
    <w:rsid w:val="00DC3B7E"/>
    <w:rsid w:val="00DC4DB7"/>
    <w:rsid w:val="00DC5056"/>
    <w:rsid w:val="00DC5460"/>
    <w:rsid w:val="00DC5661"/>
    <w:rsid w:val="00DC586D"/>
    <w:rsid w:val="00DC59EC"/>
    <w:rsid w:val="00DC5F25"/>
    <w:rsid w:val="00DC7A52"/>
    <w:rsid w:val="00DD069E"/>
    <w:rsid w:val="00DD1537"/>
    <w:rsid w:val="00DD1857"/>
    <w:rsid w:val="00DD19BF"/>
    <w:rsid w:val="00DD1ACB"/>
    <w:rsid w:val="00DD2537"/>
    <w:rsid w:val="00DD774F"/>
    <w:rsid w:val="00DD7AB5"/>
    <w:rsid w:val="00DE132F"/>
    <w:rsid w:val="00DE13C2"/>
    <w:rsid w:val="00DE1410"/>
    <w:rsid w:val="00DE15B5"/>
    <w:rsid w:val="00DE1F10"/>
    <w:rsid w:val="00DE34FC"/>
    <w:rsid w:val="00DE3B2F"/>
    <w:rsid w:val="00DE4870"/>
    <w:rsid w:val="00DE4E26"/>
    <w:rsid w:val="00DE5228"/>
    <w:rsid w:val="00DE5DD7"/>
    <w:rsid w:val="00DE61F7"/>
    <w:rsid w:val="00DE630C"/>
    <w:rsid w:val="00DE639B"/>
    <w:rsid w:val="00DE6E27"/>
    <w:rsid w:val="00DE7786"/>
    <w:rsid w:val="00DE7E7C"/>
    <w:rsid w:val="00DF010A"/>
    <w:rsid w:val="00DF01CE"/>
    <w:rsid w:val="00DF0746"/>
    <w:rsid w:val="00DF0A77"/>
    <w:rsid w:val="00DF0D65"/>
    <w:rsid w:val="00DF21A5"/>
    <w:rsid w:val="00DF35DF"/>
    <w:rsid w:val="00DF369B"/>
    <w:rsid w:val="00DF4AF3"/>
    <w:rsid w:val="00DF5052"/>
    <w:rsid w:val="00DF58ED"/>
    <w:rsid w:val="00DF5C79"/>
    <w:rsid w:val="00DF618C"/>
    <w:rsid w:val="00DF6FD3"/>
    <w:rsid w:val="00DF6FE3"/>
    <w:rsid w:val="00E00264"/>
    <w:rsid w:val="00E00570"/>
    <w:rsid w:val="00E009E7"/>
    <w:rsid w:val="00E0221D"/>
    <w:rsid w:val="00E024B5"/>
    <w:rsid w:val="00E02BAB"/>
    <w:rsid w:val="00E02D28"/>
    <w:rsid w:val="00E03744"/>
    <w:rsid w:val="00E03883"/>
    <w:rsid w:val="00E045BC"/>
    <w:rsid w:val="00E0495E"/>
    <w:rsid w:val="00E04EF0"/>
    <w:rsid w:val="00E05A61"/>
    <w:rsid w:val="00E061B9"/>
    <w:rsid w:val="00E06394"/>
    <w:rsid w:val="00E06438"/>
    <w:rsid w:val="00E07A30"/>
    <w:rsid w:val="00E10BB1"/>
    <w:rsid w:val="00E114FC"/>
    <w:rsid w:val="00E12908"/>
    <w:rsid w:val="00E129EC"/>
    <w:rsid w:val="00E13A87"/>
    <w:rsid w:val="00E13D53"/>
    <w:rsid w:val="00E14110"/>
    <w:rsid w:val="00E14449"/>
    <w:rsid w:val="00E145A0"/>
    <w:rsid w:val="00E14C94"/>
    <w:rsid w:val="00E15E3E"/>
    <w:rsid w:val="00E15EA3"/>
    <w:rsid w:val="00E16D57"/>
    <w:rsid w:val="00E178A1"/>
    <w:rsid w:val="00E17D3E"/>
    <w:rsid w:val="00E17EC3"/>
    <w:rsid w:val="00E17F02"/>
    <w:rsid w:val="00E20499"/>
    <w:rsid w:val="00E2107C"/>
    <w:rsid w:val="00E21DEF"/>
    <w:rsid w:val="00E22254"/>
    <w:rsid w:val="00E22303"/>
    <w:rsid w:val="00E22C57"/>
    <w:rsid w:val="00E22F0C"/>
    <w:rsid w:val="00E2312D"/>
    <w:rsid w:val="00E23AE6"/>
    <w:rsid w:val="00E23BE8"/>
    <w:rsid w:val="00E23D90"/>
    <w:rsid w:val="00E2412A"/>
    <w:rsid w:val="00E24546"/>
    <w:rsid w:val="00E24F30"/>
    <w:rsid w:val="00E258C2"/>
    <w:rsid w:val="00E25913"/>
    <w:rsid w:val="00E25DA1"/>
    <w:rsid w:val="00E25FCC"/>
    <w:rsid w:val="00E266D6"/>
    <w:rsid w:val="00E269C7"/>
    <w:rsid w:val="00E26A8D"/>
    <w:rsid w:val="00E26AD6"/>
    <w:rsid w:val="00E26B60"/>
    <w:rsid w:val="00E27703"/>
    <w:rsid w:val="00E3007E"/>
    <w:rsid w:val="00E300A3"/>
    <w:rsid w:val="00E300C6"/>
    <w:rsid w:val="00E300D2"/>
    <w:rsid w:val="00E300DD"/>
    <w:rsid w:val="00E306D3"/>
    <w:rsid w:val="00E3117C"/>
    <w:rsid w:val="00E313ED"/>
    <w:rsid w:val="00E314E3"/>
    <w:rsid w:val="00E33BD6"/>
    <w:rsid w:val="00E346DA"/>
    <w:rsid w:val="00E352DF"/>
    <w:rsid w:val="00E35E8B"/>
    <w:rsid w:val="00E3654F"/>
    <w:rsid w:val="00E36681"/>
    <w:rsid w:val="00E3685A"/>
    <w:rsid w:val="00E371C8"/>
    <w:rsid w:val="00E3720A"/>
    <w:rsid w:val="00E37389"/>
    <w:rsid w:val="00E3782F"/>
    <w:rsid w:val="00E37886"/>
    <w:rsid w:val="00E37CF5"/>
    <w:rsid w:val="00E37D3B"/>
    <w:rsid w:val="00E41012"/>
    <w:rsid w:val="00E41282"/>
    <w:rsid w:val="00E41B21"/>
    <w:rsid w:val="00E42C57"/>
    <w:rsid w:val="00E42E9A"/>
    <w:rsid w:val="00E430C8"/>
    <w:rsid w:val="00E4332C"/>
    <w:rsid w:val="00E4464F"/>
    <w:rsid w:val="00E4512C"/>
    <w:rsid w:val="00E4520E"/>
    <w:rsid w:val="00E45D20"/>
    <w:rsid w:val="00E46164"/>
    <w:rsid w:val="00E46646"/>
    <w:rsid w:val="00E471D9"/>
    <w:rsid w:val="00E478D5"/>
    <w:rsid w:val="00E47D89"/>
    <w:rsid w:val="00E500D0"/>
    <w:rsid w:val="00E505F9"/>
    <w:rsid w:val="00E50640"/>
    <w:rsid w:val="00E507C1"/>
    <w:rsid w:val="00E51ACB"/>
    <w:rsid w:val="00E51FED"/>
    <w:rsid w:val="00E52439"/>
    <w:rsid w:val="00E53899"/>
    <w:rsid w:val="00E53AEB"/>
    <w:rsid w:val="00E53AF2"/>
    <w:rsid w:val="00E53C5F"/>
    <w:rsid w:val="00E53D11"/>
    <w:rsid w:val="00E54472"/>
    <w:rsid w:val="00E54674"/>
    <w:rsid w:val="00E55011"/>
    <w:rsid w:val="00E5511C"/>
    <w:rsid w:val="00E5526F"/>
    <w:rsid w:val="00E55482"/>
    <w:rsid w:val="00E558DB"/>
    <w:rsid w:val="00E55922"/>
    <w:rsid w:val="00E55B3D"/>
    <w:rsid w:val="00E55BE9"/>
    <w:rsid w:val="00E56C3F"/>
    <w:rsid w:val="00E56CA7"/>
    <w:rsid w:val="00E56CCF"/>
    <w:rsid w:val="00E57291"/>
    <w:rsid w:val="00E573C0"/>
    <w:rsid w:val="00E617E9"/>
    <w:rsid w:val="00E630D5"/>
    <w:rsid w:val="00E63516"/>
    <w:rsid w:val="00E63943"/>
    <w:rsid w:val="00E63AD8"/>
    <w:rsid w:val="00E6482C"/>
    <w:rsid w:val="00E65B40"/>
    <w:rsid w:val="00E66038"/>
    <w:rsid w:val="00E6664B"/>
    <w:rsid w:val="00E66E67"/>
    <w:rsid w:val="00E66F61"/>
    <w:rsid w:val="00E679FD"/>
    <w:rsid w:val="00E70068"/>
    <w:rsid w:val="00E70662"/>
    <w:rsid w:val="00E70C8C"/>
    <w:rsid w:val="00E7123C"/>
    <w:rsid w:val="00E712B6"/>
    <w:rsid w:val="00E72074"/>
    <w:rsid w:val="00E72442"/>
    <w:rsid w:val="00E726B4"/>
    <w:rsid w:val="00E727C9"/>
    <w:rsid w:val="00E72A91"/>
    <w:rsid w:val="00E731B3"/>
    <w:rsid w:val="00E754F1"/>
    <w:rsid w:val="00E758D3"/>
    <w:rsid w:val="00E75A16"/>
    <w:rsid w:val="00E75B5A"/>
    <w:rsid w:val="00E76192"/>
    <w:rsid w:val="00E762FB"/>
    <w:rsid w:val="00E76EA7"/>
    <w:rsid w:val="00E802AD"/>
    <w:rsid w:val="00E8138C"/>
    <w:rsid w:val="00E813B7"/>
    <w:rsid w:val="00E82282"/>
    <w:rsid w:val="00E822D9"/>
    <w:rsid w:val="00E82721"/>
    <w:rsid w:val="00E82C70"/>
    <w:rsid w:val="00E82FD5"/>
    <w:rsid w:val="00E83AEA"/>
    <w:rsid w:val="00E83D68"/>
    <w:rsid w:val="00E8413F"/>
    <w:rsid w:val="00E84856"/>
    <w:rsid w:val="00E8487B"/>
    <w:rsid w:val="00E84A08"/>
    <w:rsid w:val="00E85866"/>
    <w:rsid w:val="00E85A0A"/>
    <w:rsid w:val="00E867E6"/>
    <w:rsid w:val="00E87171"/>
    <w:rsid w:val="00E87BBA"/>
    <w:rsid w:val="00E9106C"/>
    <w:rsid w:val="00E91174"/>
    <w:rsid w:val="00E91B3D"/>
    <w:rsid w:val="00E92BE1"/>
    <w:rsid w:val="00E92C0C"/>
    <w:rsid w:val="00E92D1A"/>
    <w:rsid w:val="00E9374A"/>
    <w:rsid w:val="00E93DA3"/>
    <w:rsid w:val="00E94A69"/>
    <w:rsid w:val="00E94B46"/>
    <w:rsid w:val="00E961C5"/>
    <w:rsid w:val="00E96B84"/>
    <w:rsid w:val="00E972E8"/>
    <w:rsid w:val="00E977C7"/>
    <w:rsid w:val="00EA1053"/>
    <w:rsid w:val="00EA1476"/>
    <w:rsid w:val="00EA183E"/>
    <w:rsid w:val="00EA1E6C"/>
    <w:rsid w:val="00EA1FE2"/>
    <w:rsid w:val="00EA37EE"/>
    <w:rsid w:val="00EA4184"/>
    <w:rsid w:val="00EA41D6"/>
    <w:rsid w:val="00EA434B"/>
    <w:rsid w:val="00EA4FEE"/>
    <w:rsid w:val="00EA53F5"/>
    <w:rsid w:val="00EA5EF6"/>
    <w:rsid w:val="00EA6605"/>
    <w:rsid w:val="00EA6A10"/>
    <w:rsid w:val="00EA750E"/>
    <w:rsid w:val="00EB027F"/>
    <w:rsid w:val="00EB05C4"/>
    <w:rsid w:val="00EB0A83"/>
    <w:rsid w:val="00EB0D9C"/>
    <w:rsid w:val="00EB0EF9"/>
    <w:rsid w:val="00EB107E"/>
    <w:rsid w:val="00EB1A5E"/>
    <w:rsid w:val="00EB1C19"/>
    <w:rsid w:val="00EB1C93"/>
    <w:rsid w:val="00EB1FB9"/>
    <w:rsid w:val="00EB23D8"/>
    <w:rsid w:val="00EB266E"/>
    <w:rsid w:val="00EB2712"/>
    <w:rsid w:val="00EB2D59"/>
    <w:rsid w:val="00EB2DFE"/>
    <w:rsid w:val="00EB30E9"/>
    <w:rsid w:val="00EB31DB"/>
    <w:rsid w:val="00EB3712"/>
    <w:rsid w:val="00EB4349"/>
    <w:rsid w:val="00EB4C34"/>
    <w:rsid w:val="00EB5620"/>
    <w:rsid w:val="00EB5F73"/>
    <w:rsid w:val="00EB647B"/>
    <w:rsid w:val="00EB656C"/>
    <w:rsid w:val="00EB75C8"/>
    <w:rsid w:val="00EB7A9F"/>
    <w:rsid w:val="00EB7BF9"/>
    <w:rsid w:val="00EB7CD2"/>
    <w:rsid w:val="00EB7D33"/>
    <w:rsid w:val="00EB7F3C"/>
    <w:rsid w:val="00EC1191"/>
    <w:rsid w:val="00EC1829"/>
    <w:rsid w:val="00EC1A0F"/>
    <w:rsid w:val="00EC1F56"/>
    <w:rsid w:val="00EC2310"/>
    <w:rsid w:val="00EC286C"/>
    <w:rsid w:val="00EC2A4E"/>
    <w:rsid w:val="00EC2D7A"/>
    <w:rsid w:val="00EC5966"/>
    <w:rsid w:val="00EC5A0D"/>
    <w:rsid w:val="00EC649C"/>
    <w:rsid w:val="00EC6C95"/>
    <w:rsid w:val="00EC7368"/>
    <w:rsid w:val="00EC73CB"/>
    <w:rsid w:val="00EC7BB9"/>
    <w:rsid w:val="00EC7E7A"/>
    <w:rsid w:val="00ED0638"/>
    <w:rsid w:val="00ED2453"/>
    <w:rsid w:val="00ED24BA"/>
    <w:rsid w:val="00ED24C2"/>
    <w:rsid w:val="00ED2CB1"/>
    <w:rsid w:val="00ED3184"/>
    <w:rsid w:val="00ED328C"/>
    <w:rsid w:val="00ED44F1"/>
    <w:rsid w:val="00ED4DDB"/>
    <w:rsid w:val="00ED564E"/>
    <w:rsid w:val="00ED5739"/>
    <w:rsid w:val="00ED60FE"/>
    <w:rsid w:val="00ED6596"/>
    <w:rsid w:val="00ED730C"/>
    <w:rsid w:val="00ED775E"/>
    <w:rsid w:val="00ED7C6C"/>
    <w:rsid w:val="00EE05A1"/>
    <w:rsid w:val="00EE0EF8"/>
    <w:rsid w:val="00EE1276"/>
    <w:rsid w:val="00EE1498"/>
    <w:rsid w:val="00EE17E7"/>
    <w:rsid w:val="00EE1E28"/>
    <w:rsid w:val="00EE24E0"/>
    <w:rsid w:val="00EE2ABA"/>
    <w:rsid w:val="00EE2B4C"/>
    <w:rsid w:val="00EE35A7"/>
    <w:rsid w:val="00EE3896"/>
    <w:rsid w:val="00EE3F7C"/>
    <w:rsid w:val="00EE4332"/>
    <w:rsid w:val="00EE4DDD"/>
    <w:rsid w:val="00EE4EA7"/>
    <w:rsid w:val="00EE50A6"/>
    <w:rsid w:val="00EE5BA6"/>
    <w:rsid w:val="00EE5CF8"/>
    <w:rsid w:val="00EE5DF0"/>
    <w:rsid w:val="00EE5FDE"/>
    <w:rsid w:val="00EE60B8"/>
    <w:rsid w:val="00EE6EB9"/>
    <w:rsid w:val="00EF0995"/>
    <w:rsid w:val="00EF1111"/>
    <w:rsid w:val="00EF19FD"/>
    <w:rsid w:val="00EF3B57"/>
    <w:rsid w:val="00EF3F1B"/>
    <w:rsid w:val="00EF4080"/>
    <w:rsid w:val="00EF4739"/>
    <w:rsid w:val="00EF48C7"/>
    <w:rsid w:val="00EF4A42"/>
    <w:rsid w:val="00EF5B5B"/>
    <w:rsid w:val="00EF68E9"/>
    <w:rsid w:val="00EF72AE"/>
    <w:rsid w:val="00F0051E"/>
    <w:rsid w:val="00F01AF0"/>
    <w:rsid w:val="00F02593"/>
    <w:rsid w:val="00F027A7"/>
    <w:rsid w:val="00F02ECD"/>
    <w:rsid w:val="00F04147"/>
    <w:rsid w:val="00F0428F"/>
    <w:rsid w:val="00F043DA"/>
    <w:rsid w:val="00F044D2"/>
    <w:rsid w:val="00F04EB1"/>
    <w:rsid w:val="00F0501C"/>
    <w:rsid w:val="00F06833"/>
    <w:rsid w:val="00F06A08"/>
    <w:rsid w:val="00F07819"/>
    <w:rsid w:val="00F1001C"/>
    <w:rsid w:val="00F11884"/>
    <w:rsid w:val="00F11DD0"/>
    <w:rsid w:val="00F12417"/>
    <w:rsid w:val="00F1258B"/>
    <w:rsid w:val="00F1321A"/>
    <w:rsid w:val="00F13CA6"/>
    <w:rsid w:val="00F148FF"/>
    <w:rsid w:val="00F15048"/>
    <w:rsid w:val="00F15056"/>
    <w:rsid w:val="00F1553A"/>
    <w:rsid w:val="00F15A7C"/>
    <w:rsid w:val="00F15C00"/>
    <w:rsid w:val="00F17011"/>
    <w:rsid w:val="00F175EF"/>
    <w:rsid w:val="00F1790E"/>
    <w:rsid w:val="00F17BDB"/>
    <w:rsid w:val="00F2076A"/>
    <w:rsid w:val="00F21429"/>
    <w:rsid w:val="00F22500"/>
    <w:rsid w:val="00F22813"/>
    <w:rsid w:val="00F22AD2"/>
    <w:rsid w:val="00F22D17"/>
    <w:rsid w:val="00F22F01"/>
    <w:rsid w:val="00F233D0"/>
    <w:rsid w:val="00F233F2"/>
    <w:rsid w:val="00F23DAE"/>
    <w:rsid w:val="00F25333"/>
    <w:rsid w:val="00F25B58"/>
    <w:rsid w:val="00F25BB0"/>
    <w:rsid w:val="00F26104"/>
    <w:rsid w:val="00F26370"/>
    <w:rsid w:val="00F26D23"/>
    <w:rsid w:val="00F26FDD"/>
    <w:rsid w:val="00F30357"/>
    <w:rsid w:val="00F30570"/>
    <w:rsid w:val="00F30847"/>
    <w:rsid w:val="00F31465"/>
    <w:rsid w:val="00F314CB"/>
    <w:rsid w:val="00F31F07"/>
    <w:rsid w:val="00F321AC"/>
    <w:rsid w:val="00F322E6"/>
    <w:rsid w:val="00F3262E"/>
    <w:rsid w:val="00F3291D"/>
    <w:rsid w:val="00F33015"/>
    <w:rsid w:val="00F33ACC"/>
    <w:rsid w:val="00F33E0F"/>
    <w:rsid w:val="00F34432"/>
    <w:rsid w:val="00F354D0"/>
    <w:rsid w:val="00F355CD"/>
    <w:rsid w:val="00F35AE6"/>
    <w:rsid w:val="00F36C3D"/>
    <w:rsid w:val="00F3797F"/>
    <w:rsid w:val="00F37B1E"/>
    <w:rsid w:val="00F37B32"/>
    <w:rsid w:val="00F37EE4"/>
    <w:rsid w:val="00F40814"/>
    <w:rsid w:val="00F40C22"/>
    <w:rsid w:val="00F413ED"/>
    <w:rsid w:val="00F416C9"/>
    <w:rsid w:val="00F41D9F"/>
    <w:rsid w:val="00F41E28"/>
    <w:rsid w:val="00F42093"/>
    <w:rsid w:val="00F428A9"/>
    <w:rsid w:val="00F434C4"/>
    <w:rsid w:val="00F437F7"/>
    <w:rsid w:val="00F43B0B"/>
    <w:rsid w:val="00F43B67"/>
    <w:rsid w:val="00F43BBB"/>
    <w:rsid w:val="00F44419"/>
    <w:rsid w:val="00F44814"/>
    <w:rsid w:val="00F44B72"/>
    <w:rsid w:val="00F44E43"/>
    <w:rsid w:val="00F45279"/>
    <w:rsid w:val="00F45F7F"/>
    <w:rsid w:val="00F474DA"/>
    <w:rsid w:val="00F477CE"/>
    <w:rsid w:val="00F47A65"/>
    <w:rsid w:val="00F47F15"/>
    <w:rsid w:val="00F50001"/>
    <w:rsid w:val="00F500AF"/>
    <w:rsid w:val="00F5085B"/>
    <w:rsid w:val="00F5124A"/>
    <w:rsid w:val="00F5148F"/>
    <w:rsid w:val="00F51548"/>
    <w:rsid w:val="00F51914"/>
    <w:rsid w:val="00F52021"/>
    <w:rsid w:val="00F52D03"/>
    <w:rsid w:val="00F52EB9"/>
    <w:rsid w:val="00F52F84"/>
    <w:rsid w:val="00F53657"/>
    <w:rsid w:val="00F53764"/>
    <w:rsid w:val="00F5393D"/>
    <w:rsid w:val="00F543AC"/>
    <w:rsid w:val="00F546B1"/>
    <w:rsid w:val="00F55AB9"/>
    <w:rsid w:val="00F56BA8"/>
    <w:rsid w:val="00F5755C"/>
    <w:rsid w:val="00F57DEC"/>
    <w:rsid w:val="00F6002D"/>
    <w:rsid w:val="00F60A92"/>
    <w:rsid w:val="00F60CD2"/>
    <w:rsid w:val="00F61227"/>
    <w:rsid w:val="00F61662"/>
    <w:rsid w:val="00F61A43"/>
    <w:rsid w:val="00F61B71"/>
    <w:rsid w:val="00F625D6"/>
    <w:rsid w:val="00F62A01"/>
    <w:rsid w:val="00F636E0"/>
    <w:rsid w:val="00F6396A"/>
    <w:rsid w:val="00F646D7"/>
    <w:rsid w:val="00F64D8A"/>
    <w:rsid w:val="00F64E16"/>
    <w:rsid w:val="00F650CE"/>
    <w:rsid w:val="00F6533D"/>
    <w:rsid w:val="00F654A4"/>
    <w:rsid w:val="00F6594C"/>
    <w:rsid w:val="00F668E3"/>
    <w:rsid w:val="00F669C6"/>
    <w:rsid w:val="00F669DA"/>
    <w:rsid w:val="00F67B04"/>
    <w:rsid w:val="00F67CD1"/>
    <w:rsid w:val="00F67F3B"/>
    <w:rsid w:val="00F70519"/>
    <w:rsid w:val="00F70952"/>
    <w:rsid w:val="00F70CBA"/>
    <w:rsid w:val="00F70ED8"/>
    <w:rsid w:val="00F72054"/>
    <w:rsid w:val="00F72F7D"/>
    <w:rsid w:val="00F73011"/>
    <w:rsid w:val="00F73246"/>
    <w:rsid w:val="00F73375"/>
    <w:rsid w:val="00F7366F"/>
    <w:rsid w:val="00F739F3"/>
    <w:rsid w:val="00F73F97"/>
    <w:rsid w:val="00F7439B"/>
    <w:rsid w:val="00F753A1"/>
    <w:rsid w:val="00F75DA4"/>
    <w:rsid w:val="00F7710D"/>
    <w:rsid w:val="00F80747"/>
    <w:rsid w:val="00F8077F"/>
    <w:rsid w:val="00F80AEB"/>
    <w:rsid w:val="00F80E78"/>
    <w:rsid w:val="00F81327"/>
    <w:rsid w:val="00F82162"/>
    <w:rsid w:val="00F82FAC"/>
    <w:rsid w:val="00F8368B"/>
    <w:rsid w:val="00F83C15"/>
    <w:rsid w:val="00F84467"/>
    <w:rsid w:val="00F85CE5"/>
    <w:rsid w:val="00F85E84"/>
    <w:rsid w:val="00F8611D"/>
    <w:rsid w:val="00F86853"/>
    <w:rsid w:val="00F86873"/>
    <w:rsid w:val="00F92395"/>
    <w:rsid w:val="00F92508"/>
    <w:rsid w:val="00F92A0B"/>
    <w:rsid w:val="00F9344A"/>
    <w:rsid w:val="00F94CCC"/>
    <w:rsid w:val="00F9585C"/>
    <w:rsid w:val="00F95905"/>
    <w:rsid w:val="00F96D24"/>
    <w:rsid w:val="00F97026"/>
    <w:rsid w:val="00F97567"/>
    <w:rsid w:val="00F97F39"/>
    <w:rsid w:val="00FA0014"/>
    <w:rsid w:val="00FA0F7E"/>
    <w:rsid w:val="00FA1995"/>
    <w:rsid w:val="00FA23BF"/>
    <w:rsid w:val="00FA3328"/>
    <w:rsid w:val="00FA3AD4"/>
    <w:rsid w:val="00FA3B99"/>
    <w:rsid w:val="00FA4332"/>
    <w:rsid w:val="00FA54F4"/>
    <w:rsid w:val="00FA55F0"/>
    <w:rsid w:val="00FA5620"/>
    <w:rsid w:val="00FA56E5"/>
    <w:rsid w:val="00FA5E9D"/>
    <w:rsid w:val="00FA5F5D"/>
    <w:rsid w:val="00FA64E7"/>
    <w:rsid w:val="00FA681B"/>
    <w:rsid w:val="00FA6960"/>
    <w:rsid w:val="00FA6C14"/>
    <w:rsid w:val="00FA7AC1"/>
    <w:rsid w:val="00FA7E03"/>
    <w:rsid w:val="00FB0795"/>
    <w:rsid w:val="00FB0845"/>
    <w:rsid w:val="00FB0A6F"/>
    <w:rsid w:val="00FB1237"/>
    <w:rsid w:val="00FB15F9"/>
    <w:rsid w:val="00FB1786"/>
    <w:rsid w:val="00FB264C"/>
    <w:rsid w:val="00FB27A9"/>
    <w:rsid w:val="00FB2823"/>
    <w:rsid w:val="00FB2A50"/>
    <w:rsid w:val="00FB349A"/>
    <w:rsid w:val="00FB34DD"/>
    <w:rsid w:val="00FB3619"/>
    <w:rsid w:val="00FB3FD5"/>
    <w:rsid w:val="00FB4D0D"/>
    <w:rsid w:val="00FB5361"/>
    <w:rsid w:val="00FB5ED4"/>
    <w:rsid w:val="00FB64F2"/>
    <w:rsid w:val="00FB7076"/>
    <w:rsid w:val="00FB70DD"/>
    <w:rsid w:val="00FC03A9"/>
    <w:rsid w:val="00FC0A47"/>
    <w:rsid w:val="00FC0C17"/>
    <w:rsid w:val="00FC0E08"/>
    <w:rsid w:val="00FC19DB"/>
    <w:rsid w:val="00FC1BFA"/>
    <w:rsid w:val="00FC325D"/>
    <w:rsid w:val="00FC37A8"/>
    <w:rsid w:val="00FC3D6F"/>
    <w:rsid w:val="00FC4242"/>
    <w:rsid w:val="00FC4348"/>
    <w:rsid w:val="00FC4871"/>
    <w:rsid w:val="00FC662D"/>
    <w:rsid w:val="00FC6B57"/>
    <w:rsid w:val="00FC799E"/>
    <w:rsid w:val="00FD038D"/>
    <w:rsid w:val="00FD0555"/>
    <w:rsid w:val="00FD0578"/>
    <w:rsid w:val="00FD069B"/>
    <w:rsid w:val="00FD11E9"/>
    <w:rsid w:val="00FD16F1"/>
    <w:rsid w:val="00FD1F94"/>
    <w:rsid w:val="00FD23CF"/>
    <w:rsid w:val="00FD2867"/>
    <w:rsid w:val="00FD4C99"/>
    <w:rsid w:val="00FD5461"/>
    <w:rsid w:val="00FD5ABA"/>
    <w:rsid w:val="00FD5B12"/>
    <w:rsid w:val="00FD5C5F"/>
    <w:rsid w:val="00FD5E22"/>
    <w:rsid w:val="00FD6DC3"/>
    <w:rsid w:val="00FD6E78"/>
    <w:rsid w:val="00FD783F"/>
    <w:rsid w:val="00FE0379"/>
    <w:rsid w:val="00FE049A"/>
    <w:rsid w:val="00FE0C2C"/>
    <w:rsid w:val="00FE12CA"/>
    <w:rsid w:val="00FE18ED"/>
    <w:rsid w:val="00FE2188"/>
    <w:rsid w:val="00FE3907"/>
    <w:rsid w:val="00FE3909"/>
    <w:rsid w:val="00FE4572"/>
    <w:rsid w:val="00FE483F"/>
    <w:rsid w:val="00FE4C78"/>
    <w:rsid w:val="00FE66F9"/>
    <w:rsid w:val="00FE6F33"/>
    <w:rsid w:val="00FF00CA"/>
    <w:rsid w:val="00FF0ED9"/>
    <w:rsid w:val="00FF1444"/>
    <w:rsid w:val="00FF14C5"/>
    <w:rsid w:val="00FF1894"/>
    <w:rsid w:val="00FF19E1"/>
    <w:rsid w:val="00FF23CF"/>
    <w:rsid w:val="00FF281F"/>
    <w:rsid w:val="00FF461B"/>
    <w:rsid w:val="00FF4B96"/>
    <w:rsid w:val="00FF4D90"/>
    <w:rsid w:val="00FF5026"/>
    <w:rsid w:val="00FF5323"/>
    <w:rsid w:val="00FF5BA4"/>
    <w:rsid w:val="00FF5D24"/>
    <w:rsid w:val="00FF5E00"/>
    <w:rsid w:val="00FF6A8E"/>
    <w:rsid w:val="00FF7837"/>
    <w:rsid w:val="00FF7950"/>
    <w:rsid w:val="00FF7A16"/>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uiPriority w:val="99"/>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qFormat/>
    <w:rsid w:val="00C155BA"/>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Styl"/>
    <w:basedOn w:val="DefaultParagraphFont"/>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uiPriority w:val="99"/>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qFormat/>
    <w:rsid w:val="00E726B4"/>
    <w:pPr>
      <w:suppressLineNumbers/>
      <w:tabs>
        <w:tab w:val="left" w:pos="440"/>
        <w:tab w:val="right" w:leader="dot" w:pos="9350"/>
      </w:tabs>
      <w:spacing w:line="480" w:lineRule="auto"/>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rsid w:val="005A59A2"/>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uiPriority w:val="59"/>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rsid w:val="004A5AAA"/>
    <w:rPr>
      <w:sz w:val="16"/>
      <w:szCs w:val="16"/>
    </w:rPr>
  </w:style>
  <w:style w:type="paragraph" w:styleId="CommentText">
    <w:name w:val="annotation text"/>
    <w:basedOn w:val="Normal"/>
    <w:link w:val="CommentTextChar"/>
    <w:rsid w:val="004A5AAA"/>
  </w:style>
  <w:style w:type="character" w:customStyle="1" w:styleId="CommentTextChar">
    <w:name w:val="Comment Text Char"/>
    <w:basedOn w:val="DefaultParagraphFont"/>
    <w:link w:val="CommentText"/>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E726B4"/>
    <w:pPr>
      <w:suppressLineNumbers/>
      <w:tabs>
        <w:tab w:val="left" w:pos="66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qFormat/>
    <w:rsid w:val="00466044"/>
    <w:pPr>
      <w:numPr>
        <w:numId w:val="4"/>
      </w:numPr>
      <w:spacing w:before="120" w:line="360" w:lineRule="auto"/>
      <w:jc w:val="both"/>
    </w:pPr>
    <w:rPr>
      <w:snapToGrid w:val="0"/>
      <w:sz w:val="24"/>
    </w:rPr>
  </w:style>
  <w:style w:type="paragraph" w:customStyle="1" w:styleId="FOFCOL">
    <w:name w:val="FOF/COL"/>
    <w:basedOn w:val="BodyText"/>
    <w:link w:val="FOFCOLChar"/>
    <w:qForma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rsid w:val="003B1080"/>
    <w:rPr>
      <w:snapToGrid w:val="0"/>
      <w:sz w:val="24"/>
    </w:rPr>
  </w:style>
  <w:style w:type="paragraph" w:styleId="PlainText">
    <w:name w:val="Plain Text"/>
    <w:basedOn w:val="Normal"/>
    <w:link w:val="PlainTextChar"/>
    <w:rsid w:val="001B6F38"/>
    <w:rPr>
      <w:rFonts w:ascii="Courier New" w:hAnsi="Courier New"/>
    </w:rPr>
  </w:style>
  <w:style w:type="character" w:customStyle="1" w:styleId="PlainTextChar">
    <w:name w:val="Plain Text Char"/>
    <w:basedOn w:val="DefaultParagraphFont"/>
    <w:link w:val="PlainText"/>
    <w:rsid w:val="001B6F38"/>
    <w:rPr>
      <w:rFonts w:ascii="Courier New" w:hAnsi="Courier New"/>
    </w:rPr>
  </w:style>
  <w:style w:type="paragraph" w:customStyle="1" w:styleId="Answer">
    <w:name w:val="Answer"/>
    <w:basedOn w:val="Normal"/>
    <w:next w:val="Normal"/>
    <w:rsid w:val="00004648"/>
    <w:pPr>
      <w:numPr>
        <w:numId w:val="5"/>
      </w:numPr>
      <w:spacing w:after="120" w:line="360" w:lineRule="auto"/>
      <w:jc w:val="both"/>
    </w:pPr>
    <w:rPr>
      <w:rFonts w:ascii="Arial" w:hAnsi="Arial"/>
      <w:sz w:val="22"/>
    </w:rPr>
  </w:style>
  <w:style w:type="character" w:customStyle="1" w:styleId="FOFCOLChar">
    <w:name w:val="FOF/COL Char"/>
    <w:basedOn w:val="DefaultParagraphFont"/>
    <w:link w:val="FOFCOL"/>
    <w:rsid w:val="004867F1"/>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590696340">
      <w:bodyDiv w:val="1"/>
      <w:marLeft w:val="0"/>
      <w:marRight w:val="0"/>
      <w:marTop w:val="0"/>
      <w:marBottom w:val="0"/>
      <w:divBdr>
        <w:top w:val="none" w:sz="0" w:space="0" w:color="auto"/>
        <w:left w:val="none" w:sz="0" w:space="0" w:color="auto"/>
        <w:bottom w:val="none" w:sz="0" w:space="0" w:color="auto"/>
        <w:right w:val="none" w:sz="0" w:space="0" w:color="auto"/>
      </w:divBdr>
    </w:div>
    <w:div w:id="641230884">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76780586">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96982567">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56393495">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502891155">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www.centerpointenergy.com/en-us/Corp/Documents/CenterPoint_Energy_Fact_Sheet.pdf" TargetMode="External"/><Relationship Id="rId2" Type="http://schemas.openxmlformats.org/officeDocument/2006/relationships/hyperlink" Target="https://www.centerpointenergy.com/en-us/corporate/about-us/news/1201" TargetMode="External"/><Relationship Id="rId1" Type="http://schemas.openxmlformats.org/officeDocument/2006/relationships/hyperlink" Target="https://www.vectren.com/corporate/about" TargetMode="External"/><Relationship Id="rId5" Type="http://schemas.openxmlformats.org/officeDocument/2006/relationships/hyperlink" Target="https://en.wikipedia.org/wiki/Energy_Future_Holdings" TargetMode="External"/><Relationship Id="rId4" Type="http://schemas.openxmlformats.org/officeDocument/2006/relationships/hyperlink" Target="https://www.cnbc.com/2018/08/07/here-are-the-top-10-largest-leveraged-buyouts-in-histo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4CB3E-7E5A-4522-A0A1-8D36A3F7D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7860</Words>
  <Characters>45893</Characters>
  <Application>Microsoft Office Word</Application>
  <DocSecurity>0</DocSecurity>
  <Lines>382</Lines>
  <Paragraphs>107</Paragraphs>
  <ScaleCrop>false</ScaleCrop>
  <Company/>
  <LinksUpToDate>false</LinksUpToDate>
  <CharactersWithSpaces>53646</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2019-06-11T22:49:00Z</dcterms:created>
  <dcterms:modified xsi:type="dcterms:W3CDTF">2019-06-11T22:50:00Z</dcterms:modified>
  <cp:contentStatus/>
</cp:coreProperties>
</file>